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69EE3">
      <w:pPr>
        <w:pStyle w:val="4"/>
        <w:keepNext w:val="0"/>
        <w:keepLines w:val="0"/>
        <w:pageBreakBefore w:val="0"/>
        <w:widowControl w:val="0"/>
        <w:kinsoku/>
        <w:wordWrap/>
        <w:overflowPunct/>
        <w:topLinePunct w:val="0"/>
        <w:autoSpaceDE/>
        <w:autoSpaceDN/>
        <w:bidi w:val="0"/>
        <w:adjustRightInd/>
        <w:snapToGrid/>
        <w:spacing w:before="313" w:beforeLines="100" w:beforeAutospacing="0" w:afterAutospacing="0"/>
        <w:jc w:val="center"/>
        <w:textAlignment w:val="auto"/>
        <w:rPr>
          <w:rFonts w:hint="eastAsia" w:ascii="黑体" w:hAnsi="黑体" w:eastAsia="黑体" w:cs="黑体"/>
          <w:b/>
          <w:bCs/>
          <w:sz w:val="48"/>
          <w:szCs w:val="48"/>
        </w:rPr>
      </w:pPr>
    </w:p>
    <w:p w14:paraId="55F1C4AB">
      <w:pPr>
        <w:bidi w:val="0"/>
        <w:jc w:val="center"/>
        <w:rPr>
          <w:rFonts w:hint="eastAsia" w:ascii="微软雅黑" w:hAnsi="微软雅黑" w:eastAsia="微软雅黑" w:cs="微软雅黑"/>
          <w:b/>
          <w:bCs/>
          <w:sz w:val="48"/>
          <w:szCs w:val="48"/>
        </w:rPr>
      </w:pPr>
      <w:bookmarkStart w:id="0" w:name="_Toc14999"/>
      <w:r>
        <w:rPr>
          <w:rFonts w:hint="eastAsia" w:ascii="微软雅黑" w:hAnsi="微软雅黑" w:eastAsia="微软雅黑" w:cs="微软雅黑"/>
          <w:b/>
          <w:bCs/>
          <w:sz w:val="48"/>
          <w:szCs w:val="48"/>
          <w:lang w:val="en-US" w:eastAsia="zh-CN"/>
        </w:rPr>
        <w:t>WLB_2C</w:t>
      </w:r>
      <w:r>
        <w:rPr>
          <w:rFonts w:hint="eastAsia" w:ascii="微软雅黑" w:hAnsi="微软雅黑" w:eastAsia="微软雅黑" w:cs="微软雅黑"/>
          <w:b/>
          <w:bCs/>
          <w:sz w:val="48"/>
          <w:szCs w:val="48"/>
        </w:rPr>
        <w:t>无线</w:t>
      </w:r>
      <w:r>
        <w:rPr>
          <w:rFonts w:hint="eastAsia" w:ascii="微软雅黑" w:hAnsi="微软雅黑" w:eastAsia="微软雅黑" w:cs="微软雅黑"/>
          <w:b/>
          <w:bCs/>
          <w:sz w:val="48"/>
          <w:szCs w:val="48"/>
          <w:lang w:val="en-US" w:eastAsia="zh-CN"/>
        </w:rPr>
        <w:t>远程变频控制器</w:t>
      </w:r>
      <w:r>
        <w:rPr>
          <w:rFonts w:hint="eastAsia" w:ascii="微软雅黑" w:hAnsi="微软雅黑" w:eastAsia="微软雅黑" w:cs="微软雅黑"/>
          <w:b/>
          <w:bCs/>
          <w:sz w:val="48"/>
          <w:szCs w:val="48"/>
        </w:rPr>
        <w:t>说明书</w:t>
      </w:r>
      <w:bookmarkEnd w:id="0"/>
    </w:p>
    <w:p w14:paraId="24A74148">
      <w:pPr>
        <w:bidi w:val="0"/>
      </w:pPr>
    </w:p>
    <w:p w14:paraId="3BB636C5">
      <w:pPr>
        <w:bidi w:val="0"/>
        <w:jc w:val="center"/>
        <w:rPr>
          <w:rFonts w:hint="eastAsia"/>
          <w:lang w:eastAsia="zh-CN"/>
        </w:rPr>
      </w:pPr>
      <w:r>
        <w:rPr>
          <w:rFonts w:hint="eastAsia"/>
          <w:lang w:eastAsia="zh-CN"/>
        </w:rPr>
        <w:drawing>
          <wp:inline distT="0" distB="0" distL="114300" distR="114300">
            <wp:extent cx="4433570" cy="4433570"/>
            <wp:effectExtent l="0" t="0" r="0" b="0"/>
            <wp:docPr id="3" name="图片 3" descr="WLB2C主机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LB2C主机透明"/>
                    <pic:cNvPicPr>
                      <a:picLocks noChangeAspect="1"/>
                    </pic:cNvPicPr>
                  </pic:nvPicPr>
                  <pic:blipFill>
                    <a:blip r:embed="rId5"/>
                    <a:stretch>
                      <a:fillRect/>
                    </a:stretch>
                  </pic:blipFill>
                  <pic:spPr>
                    <a:xfrm>
                      <a:off x="0" y="0"/>
                      <a:ext cx="4433570" cy="4433570"/>
                    </a:xfrm>
                    <a:prstGeom prst="rect">
                      <a:avLst/>
                    </a:prstGeom>
                  </pic:spPr>
                </pic:pic>
              </a:graphicData>
            </a:graphic>
          </wp:inline>
        </w:drawing>
      </w:r>
    </w:p>
    <w:p w14:paraId="5317AE93">
      <w:pPr>
        <w:bidi w:val="0"/>
        <w:rPr>
          <w:rFonts w:hint="eastAsia" w:ascii="黑体" w:hAnsi="黑体" w:eastAsia="黑体" w:cs="黑体"/>
          <w:b/>
          <w:bCs/>
          <w:sz w:val="32"/>
          <w:szCs w:val="32"/>
        </w:rPr>
      </w:pPr>
      <w:bookmarkStart w:id="1" w:name="_Toc12536"/>
      <w:r>
        <w:rPr>
          <w:rFonts w:hint="eastAsia" w:ascii="黑体" w:hAnsi="黑体" w:eastAsia="黑体" w:cs="黑体"/>
          <w:b/>
          <w:bCs/>
          <w:sz w:val="32"/>
          <w:szCs w:val="32"/>
        </w:rPr>
        <w:t>版本信息</w:t>
      </w:r>
      <w:bookmarkEnd w:id="1"/>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7656"/>
      </w:tblGrid>
      <w:tr w14:paraId="5102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dxa"/>
          </w:tcPr>
          <w:p w14:paraId="72290CF9">
            <w:pPr>
              <w:bidi w:val="0"/>
              <w:rPr>
                <w:rFonts w:hint="eastAsia" w:ascii="宋体" w:hAnsi="宋体" w:eastAsia="宋体" w:cs="宋体"/>
                <w:sz w:val="30"/>
                <w:szCs w:val="30"/>
              </w:rPr>
            </w:pPr>
            <w:bookmarkStart w:id="2" w:name="_Toc15881"/>
            <w:r>
              <w:rPr>
                <w:rFonts w:hint="eastAsia" w:ascii="宋体" w:hAnsi="宋体" w:eastAsia="宋体" w:cs="宋体"/>
                <w:sz w:val="30"/>
                <w:szCs w:val="30"/>
                <w:lang w:val="en-US" w:eastAsia="zh-CN"/>
              </w:rPr>
              <w:t>固件项目</w:t>
            </w:r>
            <w:bookmarkEnd w:id="2"/>
          </w:p>
        </w:tc>
        <w:tc>
          <w:tcPr>
            <w:tcW w:w="7656" w:type="dxa"/>
          </w:tcPr>
          <w:p w14:paraId="28FF5856">
            <w:pPr>
              <w:bidi w:val="0"/>
              <w:rPr>
                <w:rFonts w:hint="eastAsia" w:ascii="仿宋" w:hAnsi="仿宋" w:eastAsia="仿宋" w:cs="仿宋"/>
                <w:sz w:val="30"/>
                <w:szCs w:val="30"/>
              </w:rPr>
            </w:pPr>
            <w:bookmarkStart w:id="3" w:name="_Toc22134"/>
            <w:r>
              <w:rPr>
                <w:rFonts w:hint="eastAsia" w:ascii="仿宋" w:hAnsi="仿宋" w:eastAsia="仿宋" w:cs="仿宋"/>
                <w:sz w:val="30"/>
                <w:szCs w:val="30"/>
                <w:lang w:val="en-US" w:eastAsia="zh-CN"/>
              </w:rPr>
              <w:t xml:space="preserve">WLB_2C </w:t>
            </w:r>
            <w:bookmarkEnd w:id="3"/>
          </w:p>
        </w:tc>
      </w:tr>
      <w:tr w14:paraId="6A0F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dxa"/>
          </w:tcPr>
          <w:p w14:paraId="32390A71">
            <w:pPr>
              <w:bidi w:val="0"/>
              <w:rPr>
                <w:rFonts w:hint="eastAsia" w:ascii="宋体" w:hAnsi="宋体" w:eastAsia="宋体" w:cs="宋体"/>
                <w:sz w:val="30"/>
                <w:szCs w:val="30"/>
              </w:rPr>
            </w:pPr>
            <w:bookmarkStart w:id="4" w:name="_Toc9989"/>
            <w:r>
              <w:rPr>
                <w:rFonts w:hint="eastAsia" w:ascii="宋体" w:hAnsi="宋体" w:eastAsia="宋体" w:cs="宋体"/>
                <w:sz w:val="30"/>
                <w:szCs w:val="30"/>
                <w:lang w:val="en-US" w:eastAsia="zh-CN"/>
              </w:rPr>
              <w:t>固件版本</w:t>
            </w:r>
            <w:bookmarkEnd w:id="4"/>
          </w:p>
        </w:tc>
        <w:tc>
          <w:tcPr>
            <w:tcW w:w="7656" w:type="dxa"/>
          </w:tcPr>
          <w:p w14:paraId="2AB3A52C">
            <w:pPr>
              <w:bidi w:val="0"/>
              <w:rPr>
                <w:rFonts w:hint="eastAsia" w:ascii="仿宋" w:hAnsi="仿宋" w:eastAsia="仿宋" w:cs="仿宋"/>
                <w:sz w:val="30"/>
                <w:szCs w:val="30"/>
              </w:rPr>
            </w:pPr>
            <w:r>
              <w:rPr>
                <w:rFonts w:hint="eastAsia" w:ascii="仿宋" w:hAnsi="仿宋" w:eastAsia="仿宋" w:cs="仿宋"/>
                <w:sz w:val="30"/>
                <w:szCs w:val="30"/>
                <w:lang w:val="en-US" w:eastAsia="zh-CN"/>
              </w:rPr>
              <w:t xml:space="preserve">V1.0.0 </w:t>
            </w:r>
          </w:p>
        </w:tc>
      </w:tr>
      <w:tr w14:paraId="196F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dxa"/>
          </w:tcPr>
          <w:p w14:paraId="610D56E0">
            <w:pPr>
              <w:bidi w:val="0"/>
              <w:rPr>
                <w:rFonts w:hint="eastAsia" w:ascii="宋体" w:hAnsi="宋体" w:eastAsia="宋体" w:cs="宋体"/>
                <w:sz w:val="30"/>
                <w:szCs w:val="30"/>
              </w:rPr>
            </w:pPr>
            <w:bookmarkStart w:id="5" w:name="_Toc7625"/>
            <w:r>
              <w:rPr>
                <w:rFonts w:hint="eastAsia" w:ascii="宋体" w:hAnsi="宋体" w:eastAsia="宋体" w:cs="宋体"/>
                <w:sz w:val="30"/>
                <w:szCs w:val="30"/>
                <w:lang w:val="en-US" w:eastAsia="zh-CN"/>
              </w:rPr>
              <w:t>硬件平台</w:t>
            </w:r>
            <w:bookmarkEnd w:id="5"/>
          </w:p>
        </w:tc>
        <w:tc>
          <w:tcPr>
            <w:tcW w:w="7656" w:type="dxa"/>
          </w:tcPr>
          <w:p w14:paraId="635833A2">
            <w:pPr>
              <w:bidi w:val="0"/>
              <w:rPr>
                <w:rFonts w:hint="eastAsia" w:ascii="仿宋" w:hAnsi="仿宋" w:eastAsia="仿宋" w:cs="仿宋"/>
                <w:sz w:val="30"/>
                <w:szCs w:val="30"/>
              </w:rPr>
            </w:pPr>
            <w:bookmarkStart w:id="6" w:name="_Toc7765"/>
            <w:r>
              <w:rPr>
                <w:rFonts w:hint="eastAsia" w:ascii="仿宋" w:hAnsi="仿宋" w:eastAsia="仿宋" w:cs="仿宋"/>
                <w:sz w:val="30"/>
                <w:szCs w:val="30"/>
                <w:lang w:val="en-US" w:eastAsia="zh-CN"/>
              </w:rPr>
              <w:t>LuatOS  4G CAT1模块</w:t>
            </w:r>
            <w:bookmarkEnd w:id="6"/>
          </w:p>
        </w:tc>
      </w:tr>
      <w:tr w14:paraId="30DA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8" w:type="dxa"/>
          </w:tcPr>
          <w:p w14:paraId="7A6DCE44">
            <w:pPr>
              <w:bidi w:val="0"/>
              <w:rPr>
                <w:rFonts w:hint="eastAsia" w:ascii="宋体" w:hAnsi="宋体" w:eastAsia="宋体" w:cs="宋体"/>
                <w:sz w:val="30"/>
                <w:szCs w:val="30"/>
                <w:lang w:val="en-US" w:eastAsia="zh-CN"/>
              </w:rPr>
            </w:pPr>
            <w:bookmarkStart w:id="7" w:name="_Toc21394"/>
            <w:r>
              <w:rPr>
                <w:rFonts w:hint="eastAsia" w:ascii="宋体" w:hAnsi="宋体" w:eastAsia="宋体" w:cs="宋体"/>
                <w:sz w:val="30"/>
                <w:szCs w:val="30"/>
                <w:lang w:val="en-US" w:eastAsia="zh-CN"/>
              </w:rPr>
              <w:t>软件平台</w:t>
            </w:r>
            <w:bookmarkEnd w:id="7"/>
          </w:p>
        </w:tc>
        <w:tc>
          <w:tcPr>
            <w:tcW w:w="7656" w:type="dxa"/>
          </w:tcPr>
          <w:p w14:paraId="39478CF3">
            <w:pPr>
              <w:bidi w:val="0"/>
              <w:rPr>
                <w:rFonts w:hint="eastAsia" w:ascii="仿宋" w:hAnsi="仿宋" w:eastAsia="仿宋" w:cs="仿宋"/>
                <w:sz w:val="30"/>
                <w:szCs w:val="30"/>
                <w:lang w:val="en-US" w:eastAsia="zh-CN"/>
              </w:rPr>
            </w:pPr>
            <w:bookmarkStart w:id="8" w:name="_Toc7917"/>
            <w:r>
              <w:rPr>
                <w:rFonts w:hint="eastAsia" w:ascii="仿宋" w:hAnsi="仿宋" w:eastAsia="仿宋" w:cs="仿宋"/>
                <w:sz w:val="30"/>
                <w:szCs w:val="30"/>
                <w:lang w:val="en-US" w:eastAsia="zh-CN"/>
              </w:rPr>
              <w:t>默认适配 《讯高维力倍智慧物联平台》</w:t>
            </w:r>
            <w:bookmarkEnd w:id="8"/>
          </w:p>
        </w:tc>
      </w:tr>
    </w:tbl>
    <w:p w14:paraId="553EF2A5">
      <w:pPr>
        <w:bidi w:val="0"/>
        <w:rPr>
          <w:rFonts w:hint="eastAsia"/>
          <w:color w:val="000000"/>
          <w:szCs w:val="19"/>
          <w:lang w:val="en-US" w:eastAsia="zh-CN"/>
        </w:rPr>
      </w:pPr>
      <w:bookmarkStart w:id="9" w:name="_Toc3229"/>
      <w:r>
        <w:rPr>
          <w:color w:val="000000"/>
          <w:szCs w:val="19"/>
        </w:rPr>
        <w:br w:type="textWrapping"/>
      </w:r>
      <w:bookmarkEnd w:id="9"/>
      <w:r>
        <w:rPr>
          <w:rFonts w:hint="eastAsia" w:ascii="黑体" w:hAnsi="黑体" w:eastAsia="黑体" w:cs="黑体"/>
          <w:b/>
          <w:bCs/>
          <w:sz w:val="32"/>
          <w:szCs w:val="32"/>
          <w:lang w:val="en-US" w:eastAsia="zh-CN"/>
        </w:rPr>
        <w:t>资料说明：</w:t>
      </w:r>
    </w:p>
    <w:p w14:paraId="1D88A686">
      <w:pPr>
        <w:bidi w:val="0"/>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本资料着重介绍WLB_2C的硬件功能。用户可参阅《讯高维力倍智慧物联平台》了解更多的设备功能效果。</w:t>
      </w:r>
    </w:p>
    <w:p w14:paraId="06D7EFAB">
      <w:pPr>
        <w:rPr>
          <w:color w:val="000000"/>
          <w:sz w:val="19"/>
          <w:szCs w:val="19"/>
        </w:rPr>
      </w:pPr>
      <w:r>
        <w:rPr>
          <w:color w:val="000000"/>
          <w:sz w:val="19"/>
          <w:szCs w:val="19"/>
        </w:rPr>
        <w:br w:type="page"/>
      </w:r>
    </w:p>
    <w:sdt>
      <w:sdtPr>
        <w:rPr>
          <w:rFonts w:ascii="宋体" w:hAnsi="宋体" w:eastAsia="宋体" w:cstheme="minorBidi"/>
          <w:kern w:val="2"/>
          <w:sz w:val="21"/>
          <w:szCs w:val="24"/>
          <w:lang w:val="en-US" w:eastAsia="zh-CN" w:bidi="ar-SA"/>
        </w:rPr>
        <w:id w:val="147474898"/>
        <w15:color w:val="DBDBDB"/>
        <w:docPartObj>
          <w:docPartGallery w:val="Table of Contents"/>
          <w:docPartUnique/>
        </w:docPartObj>
      </w:sdtPr>
      <w:sdtEndPr>
        <w:rPr>
          <w:rFonts w:ascii="宋体" w:hAnsi="宋体" w:eastAsia="宋体" w:cs="宋体"/>
          <w:kern w:val="2"/>
          <w:sz w:val="21"/>
          <w:szCs w:val="24"/>
          <w:lang w:val="en-US" w:eastAsia="zh-CN" w:bidi="ar-SA"/>
        </w:rPr>
      </w:sdtEndPr>
      <w:sdtContent>
        <w:p w14:paraId="780F36D7">
          <w:pPr>
            <w:spacing w:before="0" w:beforeLines="0" w:after="0" w:afterLines="0" w:line="240" w:lineRule="auto"/>
            <w:ind w:left="0" w:leftChars="0" w:right="0" w:rightChars="0" w:firstLine="0" w:firstLineChars="0"/>
            <w:jc w:val="left"/>
          </w:pPr>
          <w:r>
            <w:rPr>
              <w:rFonts w:hint="eastAsia" w:ascii="黑体" w:hAnsi="黑体" w:eastAsia="黑体" w:cs="黑体"/>
              <w:b/>
              <w:bCs/>
              <w:sz w:val="32"/>
              <w:szCs w:val="32"/>
            </w:rPr>
            <w:t>目录</w:t>
          </w:r>
        </w:p>
        <w:p w14:paraId="5FD930A9">
          <w:pPr>
            <w:pStyle w:val="9"/>
            <w:tabs>
              <w:tab w:val="right" w:leader="dot" w:pos="10206"/>
            </w:tabs>
            <w:rPr>
              <w:sz w:val="30"/>
              <w:szCs w:val="30"/>
            </w:rPr>
          </w:pPr>
          <w:r>
            <w:rPr>
              <w:rFonts w:ascii="宋体" w:hAnsi="宋体" w:eastAsia="宋体" w:cs="宋体"/>
              <w:sz w:val="24"/>
              <w:szCs w:val="24"/>
            </w:rPr>
            <w:fldChar w:fldCharType="begin"/>
          </w:r>
          <w:r>
            <w:rPr>
              <w:rFonts w:ascii="宋体" w:hAnsi="宋体" w:eastAsia="宋体" w:cs="宋体"/>
              <w:sz w:val="24"/>
              <w:szCs w:val="24"/>
            </w:rPr>
            <w:instrText xml:space="preserve">TOC \o "1-2" \h \u </w:instrText>
          </w:r>
          <w:r>
            <w:rPr>
              <w:rFonts w:ascii="宋体" w:hAnsi="宋体" w:eastAsia="宋体" w:cs="宋体"/>
              <w:sz w:val="24"/>
              <w:szCs w:val="24"/>
            </w:rPr>
            <w:fldChar w:fldCharType="separate"/>
          </w:r>
          <w:r>
            <w:rPr>
              <w:rFonts w:ascii="宋体" w:hAnsi="宋体" w:eastAsia="宋体" w:cs="宋体"/>
              <w:sz w:val="30"/>
              <w:szCs w:val="30"/>
            </w:rPr>
            <w:fldChar w:fldCharType="begin"/>
          </w:r>
          <w:r>
            <w:rPr>
              <w:rFonts w:ascii="宋体" w:hAnsi="宋体" w:eastAsia="宋体" w:cs="宋体"/>
              <w:sz w:val="30"/>
              <w:szCs w:val="30"/>
            </w:rPr>
            <w:instrText xml:space="preserve"> HYPERLINK \l _Toc6587 </w:instrText>
          </w:r>
          <w:r>
            <w:rPr>
              <w:rFonts w:ascii="宋体" w:hAnsi="宋体" w:eastAsia="宋体" w:cs="宋体"/>
              <w:sz w:val="30"/>
              <w:szCs w:val="30"/>
            </w:rPr>
            <w:fldChar w:fldCharType="separate"/>
          </w:r>
          <w:r>
            <w:rPr>
              <w:rFonts w:hint="eastAsia" w:ascii="黑体" w:hAnsi="黑体" w:eastAsia="黑体" w:cs="黑体"/>
              <w:sz w:val="30"/>
              <w:szCs w:val="30"/>
            </w:rPr>
            <w:t>一、项目概述</w:t>
          </w:r>
          <w:r>
            <w:rPr>
              <w:sz w:val="30"/>
              <w:szCs w:val="30"/>
            </w:rPr>
            <w:tab/>
          </w:r>
          <w:r>
            <w:rPr>
              <w:sz w:val="30"/>
              <w:szCs w:val="30"/>
            </w:rPr>
            <w:fldChar w:fldCharType="begin"/>
          </w:r>
          <w:r>
            <w:rPr>
              <w:sz w:val="30"/>
              <w:szCs w:val="30"/>
            </w:rPr>
            <w:instrText xml:space="preserve"> PAGEREF _Toc6587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38F7B56F">
          <w:pPr>
            <w:pStyle w:val="9"/>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_Toc19449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二、典型应用场景</w:t>
          </w:r>
          <w:r>
            <w:rPr>
              <w:sz w:val="30"/>
              <w:szCs w:val="30"/>
            </w:rPr>
            <w:tab/>
          </w:r>
          <w:r>
            <w:rPr>
              <w:sz w:val="30"/>
              <w:szCs w:val="30"/>
            </w:rPr>
            <w:fldChar w:fldCharType="begin"/>
          </w:r>
          <w:r>
            <w:rPr>
              <w:sz w:val="30"/>
              <w:szCs w:val="30"/>
            </w:rPr>
            <w:instrText xml:space="preserve"> PAGEREF _Toc19449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0DE6647E">
          <w:pPr>
            <w:pStyle w:val="9"/>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_Toc12664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三、设备供电</w:t>
          </w:r>
          <w:r>
            <w:rPr>
              <w:sz w:val="30"/>
              <w:szCs w:val="30"/>
            </w:rPr>
            <w:tab/>
          </w:r>
          <w:r>
            <w:rPr>
              <w:sz w:val="30"/>
              <w:szCs w:val="30"/>
            </w:rPr>
            <w:fldChar w:fldCharType="begin"/>
          </w:r>
          <w:r>
            <w:rPr>
              <w:sz w:val="30"/>
              <w:szCs w:val="30"/>
            </w:rPr>
            <w:instrText xml:space="preserve"> PAGEREF _Toc12664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6B3DD451">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_Toc28417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（一）供电输入方式</w:t>
          </w:r>
          <w:r>
            <w:rPr>
              <w:sz w:val="30"/>
              <w:szCs w:val="30"/>
            </w:rPr>
            <w:tab/>
          </w:r>
          <w:r>
            <w:rPr>
              <w:sz w:val="30"/>
              <w:szCs w:val="30"/>
            </w:rPr>
            <w:fldChar w:fldCharType="begin"/>
          </w:r>
          <w:r>
            <w:rPr>
              <w:sz w:val="30"/>
              <w:szCs w:val="30"/>
            </w:rPr>
            <w:instrText xml:space="preserve"> PAGEREF _Toc28417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5C3372FE">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_Toc1096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（二）内置备用电池</w:t>
          </w:r>
          <w:r>
            <w:rPr>
              <w:sz w:val="30"/>
              <w:szCs w:val="30"/>
            </w:rPr>
            <w:tab/>
          </w:r>
          <w:r>
            <w:rPr>
              <w:sz w:val="30"/>
              <w:szCs w:val="30"/>
            </w:rPr>
            <w:fldChar w:fldCharType="begin"/>
          </w:r>
          <w:r>
            <w:rPr>
              <w:sz w:val="30"/>
              <w:szCs w:val="30"/>
            </w:rPr>
            <w:instrText xml:space="preserve"> PAGEREF _Toc1096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21667541">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_Toc21250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（三）电池供电范围限制</w:t>
          </w:r>
          <w:r>
            <w:rPr>
              <w:sz w:val="30"/>
              <w:szCs w:val="30"/>
            </w:rPr>
            <w:tab/>
          </w:r>
          <w:r>
            <w:rPr>
              <w:sz w:val="30"/>
              <w:szCs w:val="30"/>
            </w:rPr>
            <w:fldChar w:fldCharType="begin"/>
          </w:r>
          <w:r>
            <w:rPr>
              <w:sz w:val="30"/>
              <w:szCs w:val="30"/>
            </w:rPr>
            <w:instrText xml:space="preserve"> PAGEREF _Toc21250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7C3A418B">
          <w:pPr>
            <w:pStyle w:val="9"/>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_Toc4757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四、设备运行状态指示灯</w:t>
          </w:r>
          <w:r>
            <w:rPr>
              <w:sz w:val="30"/>
              <w:szCs w:val="30"/>
            </w:rPr>
            <w:tab/>
          </w:r>
          <w:r>
            <w:rPr>
              <w:sz w:val="30"/>
              <w:szCs w:val="30"/>
            </w:rPr>
            <w:fldChar w:fldCharType="begin"/>
          </w:r>
          <w:r>
            <w:rPr>
              <w:sz w:val="30"/>
              <w:szCs w:val="30"/>
            </w:rPr>
            <w:instrText xml:space="preserve"> PAGEREF _Toc4757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24421328">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_Toc2630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（一）联网状态指示灯</w:t>
          </w:r>
          <w:r>
            <w:rPr>
              <w:sz w:val="30"/>
              <w:szCs w:val="30"/>
            </w:rPr>
            <w:tab/>
          </w:r>
          <w:r>
            <w:rPr>
              <w:sz w:val="30"/>
              <w:szCs w:val="30"/>
            </w:rPr>
            <w:fldChar w:fldCharType="begin"/>
          </w:r>
          <w:r>
            <w:rPr>
              <w:sz w:val="30"/>
              <w:szCs w:val="30"/>
            </w:rPr>
            <w:instrText xml:space="preserve"> PAGEREF _Toc2630 \h </w:instrText>
          </w:r>
          <w:r>
            <w:rPr>
              <w:sz w:val="30"/>
              <w:szCs w:val="30"/>
            </w:rPr>
            <w:fldChar w:fldCharType="separate"/>
          </w:r>
          <w:r>
            <w:rPr>
              <w:sz w:val="30"/>
              <w:szCs w:val="30"/>
            </w:rPr>
            <w:t>3</w:t>
          </w:r>
          <w:r>
            <w:rPr>
              <w:sz w:val="30"/>
              <w:szCs w:val="30"/>
            </w:rPr>
            <w:fldChar w:fldCharType="end"/>
          </w:r>
          <w:r>
            <w:rPr>
              <w:rFonts w:ascii="宋体" w:hAnsi="宋体" w:eastAsia="宋体" w:cs="宋体"/>
              <w:sz w:val="30"/>
              <w:szCs w:val="30"/>
            </w:rPr>
            <w:fldChar w:fldCharType="end"/>
          </w:r>
        </w:p>
        <w:p w14:paraId="66BD72D9">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_Toc4841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（二）控制状态指示灯</w:t>
          </w:r>
          <w:r>
            <w:rPr>
              <w:sz w:val="30"/>
              <w:szCs w:val="30"/>
            </w:rPr>
            <w:tab/>
          </w:r>
          <w:r>
            <w:rPr>
              <w:sz w:val="30"/>
              <w:szCs w:val="30"/>
            </w:rPr>
            <w:fldChar w:fldCharType="begin"/>
          </w:r>
          <w:r>
            <w:rPr>
              <w:sz w:val="30"/>
              <w:szCs w:val="30"/>
            </w:rPr>
            <w:instrText xml:space="preserve"> PAGEREF _Toc4841 \h </w:instrText>
          </w:r>
          <w:r>
            <w:rPr>
              <w:sz w:val="30"/>
              <w:szCs w:val="30"/>
            </w:rPr>
            <w:fldChar w:fldCharType="separate"/>
          </w:r>
          <w:r>
            <w:rPr>
              <w:sz w:val="30"/>
              <w:szCs w:val="30"/>
            </w:rPr>
            <w:t>4</w:t>
          </w:r>
          <w:r>
            <w:rPr>
              <w:sz w:val="30"/>
              <w:szCs w:val="30"/>
            </w:rPr>
            <w:fldChar w:fldCharType="end"/>
          </w:r>
          <w:r>
            <w:rPr>
              <w:rFonts w:ascii="宋体" w:hAnsi="宋体" w:eastAsia="宋体" w:cs="宋体"/>
              <w:sz w:val="30"/>
              <w:szCs w:val="30"/>
            </w:rPr>
            <w:fldChar w:fldCharType="end"/>
          </w:r>
        </w:p>
        <w:p w14:paraId="0EB03FB5">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_Toc12551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（三）负载运行状态指示灯L1/L2/L3</w:t>
          </w:r>
          <w:r>
            <w:rPr>
              <w:sz w:val="30"/>
              <w:szCs w:val="30"/>
            </w:rPr>
            <w:tab/>
          </w:r>
          <w:r>
            <w:rPr>
              <w:sz w:val="30"/>
              <w:szCs w:val="30"/>
            </w:rPr>
            <w:fldChar w:fldCharType="begin"/>
          </w:r>
          <w:r>
            <w:rPr>
              <w:sz w:val="30"/>
              <w:szCs w:val="30"/>
            </w:rPr>
            <w:instrText xml:space="preserve"> PAGEREF _Toc12551 \h </w:instrText>
          </w:r>
          <w:r>
            <w:rPr>
              <w:sz w:val="30"/>
              <w:szCs w:val="30"/>
            </w:rPr>
            <w:fldChar w:fldCharType="separate"/>
          </w:r>
          <w:r>
            <w:rPr>
              <w:sz w:val="30"/>
              <w:szCs w:val="30"/>
            </w:rPr>
            <w:t>4</w:t>
          </w:r>
          <w:r>
            <w:rPr>
              <w:sz w:val="30"/>
              <w:szCs w:val="30"/>
            </w:rPr>
            <w:fldChar w:fldCharType="end"/>
          </w:r>
          <w:r>
            <w:rPr>
              <w:rFonts w:ascii="宋体" w:hAnsi="宋体" w:eastAsia="宋体" w:cs="宋体"/>
              <w:sz w:val="30"/>
              <w:szCs w:val="30"/>
            </w:rPr>
            <w:fldChar w:fldCharType="end"/>
          </w:r>
        </w:p>
        <w:p w14:paraId="6E487F0A">
          <w:pPr>
            <w:pStyle w:val="9"/>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_Toc22790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五、 核心功能详解</w:t>
          </w:r>
          <w:r>
            <w:rPr>
              <w:sz w:val="30"/>
              <w:szCs w:val="30"/>
            </w:rPr>
            <w:tab/>
          </w:r>
          <w:r>
            <w:rPr>
              <w:sz w:val="30"/>
              <w:szCs w:val="30"/>
            </w:rPr>
            <w:fldChar w:fldCharType="begin"/>
          </w:r>
          <w:r>
            <w:rPr>
              <w:sz w:val="30"/>
              <w:szCs w:val="30"/>
            </w:rPr>
            <w:instrText xml:space="preserve"> PAGEREF _Toc22790 \h </w:instrText>
          </w:r>
          <w:r>
            <w:rPr>
              <w:sz w:val="30"/>
              <w:szCs w:val="30"/>
            </w:rPr>
            <w:fldChar w:fldCharType="separate"/>
          </w:r>
          <w:r>
            <w:rPr>
              <w:sz w:val="30"/>
              <w:szCs w:val="30"/>
            </w:rPr>
            <w:t>4</w:t>
          </w:r>
          <w:r>
            <w:rPr>
              <w:sz w:val="30"/>
              <w:szCs w:val="30"/>
            </w:rPr>
            <w:fldChar w:fldCharType="end"/>
          </w:r>
          <w:r>
            <w:rPr>
              <w:rFonts w:ascii="宋体" w:hAnsi="宋体" w:eastAsia="宋体" w:cs="宋体"/>
              <w:sz w:val="30"/>
              <w:szCs w:val="30"/>
            </w:rPr>
            <w:fldChar w:fldCharType="end"/>
          </w:r>
        </w:p>
        <w:p w14:paraId="4DF00E89">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_Toc6833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（一）智能故障自动判别功能</w:t>
          </w:r>
          <w:r>
            <w:rPr>
              <w:sz w:val="30"/>
              <w:szCs w:val="30"/>
            </w:rPr>
            <w:tab/>
          </w:r>
          <w:r>
            <w:rPr>
              <w:sz w:val="30"/>
              <w:szCs w:val="30"/>
            </w:rPr>
            <w:fldChar w:fldCharType="begin"/>
          </w:r>
          <w:r>
            <w:rPr>
              <w:sz w:val="30"/>
              <w:szCs w:val="30"/>
            </w:rPr>
            <w:instrText xml:space="preserve"> PAGEREF _Toc6833 \h </w:instrText>
          </w:r>
          <w:r>
            <w:rPr>
              <w:sz w:val="30"/>
              <w:szCs w:val="30"/>
            </w:rPr>
            <w:fldChar w:fldCharType="separate"/>
          </w:r>
          <w:r>
            <w:rPr>
              <w:sz w:val="30"/>
              <w:szCs w:val="30"/>
            </w:rPr>
            <w:t>4</w:t>
          </w:r>
          <w:r>
            <w:rPr>
              <w:sz w:val="30"/>
              <w:szCs w:val="30"/>
            </w:rPr>
            <w:fldChar w:fldCharType="end"/>
          </w:r>
          <w:r>
            <w:rPr>
              <w:rFonts w:ascii="宋体" w:hAnsi="宋体" w:eastAsia="宋体" w:cs="宋体"/>
              <w:sz w:val="30"/>
              <w:szCs w:val="30"/>
            </w:rPr>
            <w:fldChar w:fldCharType="end"/>
          </w:r>
        </w:p>
        <w:p w14:paraId="481C729F">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_Toc9898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（二）负载电流检测端口</w:t>
          </w:r>
          <w:r>
            <w:rPr>
              <w:sz w:val="30"/>
              <w:szCs w:val="30"/>
            </w:rPr>
            <w:tab/>
          </w:r>
          <w:r>
            <w:rPr>
              <w:sz w:val="30"/>
              <w:szCs w:val="30"/>
            </w:rPr>
            <w:fldChar w:fldCharType="begin"/>
          </w:r>
          <w:r>
            <w:rPr>
              <w:sz w:val="30"/>
              <w:szCs w:val="30"/>
            </w:rPr>
            <w:instrText xml:space="preserve"> PAGEREF _Toc9898 \h </w:instrText>
          </w:r>
          <w:r>
            <w:rPr>
              <w:sz w:val="30"/>
              <w:szCs w:val="30"/>
            </w:rPr>
            <w:fldChar w:fldCharType="separate"/>
          </w:r>
          <w:r>
            <w:rPr>
              <w:sz w:val="30"/>
              <w:szCs w:val="30"/>
            </w:rPr>
            <w:t>5</w:t>
          </w:r>
          <w:r>
            <w:rPr>
              <w:sz w:val="30"/>
              <w:szCs w:val="30"/>
            </w:rPr>
            <w:fldChar w:fldCharType="end"/>
          </w:r>
          <w:r>
            <w:rPr>
              <w:rFonts w:ascii="宋体" w:hAnsi="宋体" w:eastAsia="宋体" w:cs="宋体"/>
              <w:sz w:val="30"/>
              <w:szCs w:val="30"/>
            </w:rPr>
            <w:fldChar w:fldCharType="end"/>
          </w:r>
        </w:p>
        <w:p w14:paraId="52372695">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_Toc22012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（三）本地开关信号检测端口</w:t>
          </w:r>
          <w:r>
            <w:rPr>
              <w:sz w:val="30"/>
              <w:szCs w:val="30"/>
            </w:rPr>
            <w:tab/>
          </w:r>
          <w:r>
            <w:rPr>
              <w:sz w:val="30"/>
              <w:szCs w:val="30"/>
            </w:rPr>
            <w:fldChar w:fldCharType="begin"/>
          </w:r>
          <w:r>
            <w:rPr>
              <w:sz w:val="30"/>
              <w:szCs w:val="30"/>
            </w:rPr>
            <w:instrText xml:space="preserve"> PAGEREF _Toc22012 \h </w:instrText>
          </w:r>
          <w:r>
            <w:rPr>
              <w:sz w:val="30"/>
              <w:szCs w:val="30"/>
            </w:rPr>
            <w:fldChar w:fldCharType="separate"/>
          </w:r>
          <w:r>
            <w:rPr>
              <w:sz w:val="30"/>
              <w:szCs w:val="30"/>
            </w:rPr>
            <w:t>5</w:t>
          </w:r>
          <w:r>
            <w:rPr>
              <w:sz w:val="30"/>
              <w:szCs w:val="30"/>
            </w:rPr>
            <w:fldChar w:fldCharType="end"/>
          </w:r>
          <w:r>
            <w:rPr>
              <w:rFonts w:ascii="宋体" w:hAnsi="宋体" w:eastAsia="宋体" w:cs="宋体"/>
              <w:sz w:val="30"/>
              <w:szCs w:val="30"/>
            </w:rPr>
            <w:fldChar w:fldCharType="end"/>
          </w:r>
        </w:p>
        <w:p w14:paraId="2B00DF8D">
          <w:pPr>
            <w:pStyle w:val="10"/>
            <w:tabs>
              <w:tab w:val="right" w:leader="dot" w:pos="10206"/>
            </w:tabs>
            <w:rPr>
              <w:sz w:val="30"/>
              <w:szCs w:val="30"/>
            </w:rPr>
          </w:pPr>
          <w:r>
            <w:rPr>
              <w:rFonts w:ascii="宋体" w:hAnsi="宋体" w:eastAsia="宋体" w:cs="宋体"/>
              <w:sz w:val="30"/>
              <w:szCs w:val="30"/>
            </w:rPr>
            <w:fldChar w:fldCharType="begin"/>
          </w:r>
          <w:r>
            <w:rPr>
              <w:rFonts w:ascii="宋体" w:hAnsi="宋体" w:eastAsia="宋体" w:cs="宋体"/>
              <w:sz w:val="30"/>
              <w:szCs w:val="30"/>
            </w:rPr>
            <w:instrText xml:space="preserve"> HYPERLINK \l _Toc15298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（四）继电器开关输出控制端口</w:t>
          </w:r>
          <w:r>
            <w:rPr>
              <w:sz w:val="30"/>
              <w:szCs w:val="30"/>
            </w:rPr>
            <w:tab/>
          </w:r>
          <w:r>
            <w:rPr>
              <w:sz w:val="30"/>
              <w:szCs w:val="30"/>
            </w:rPr>
            <w:fldChar w:fldCharType="begin"/>
          </w:r>
          <w:r>
            <w:rPr>
              <w:sz w:val="30"/>
              <w:szCs w:val="30"/>
            </w:rPr>
            <w:instrText xml:space="preserve"> PAGEREF _Toc15298 \h </w:instrText>
          </w:r>
          <w:r>
            <w:rPr>
              <w:sz w:val="30"/>
              <w:szCs w:val="30"/>
            </w:rPr>
            <w:fldChar w:fldCharType="separate"/>
          </w:r>
          <w:r>
            <w:rPr>
              <w:sz w:val="30"/>
              <w:szCs w:val="30"/>
            </w:rPr>
            <w:t>6</w:t>
          </w:r>
          <w:r>
            <w:rPr>
              <w:sz w:val="30"/>
              <w:szCs w:val="30"/>
            </w:rPr>
            <w:fldChar w:fldCharType="end"/>
          </w:r>
          <w:r>
            <w:rPr>
              <w:rFonts w:ascii="宋体" w:hAnsi="宋体" w:eastAsia="宋体" w:cs="宋体"/>
              <w:sz w:val="30"/>
              <w:szCs w:val="30"/>
            </w:rPr>
            <w:fldChar w:fldCharType="end"/>
          </w:r>
        </w:p>
        <w:p w14:paraId="62E06203">
          <w:pPr>
            <w:pStyle w:val="10"/>
            <w:tabs>
              <w:tab w:val="right" w:leader="dot" w:pos="10206"/>
            </w:tabs>
          </w:pPr>
          <w:r>
            <w:rPr>
              <w:rFonts w:ascii="宋体" w:hAnsi="宋体" w:eastAsia="宋体" w:cs="宋体"/>
              <w:sz w:val="30"/>
              <w:szCs w:val="30"/>
            </w:rPr>
            <w:fldChar w:fldCharType="begin"/>
          </w:r>
          <w:r>
            <w:rPr>
              <w:rFonts w:ascii="宋体" w:hAnsi="宋体" w:eastAsia="宋体" w:cs="宋体"/>
              <w:sz w:val="30"/>
              <w:szCs w:val="30"/>
            </w:rPr>
            <w:instrText xml:space="preserve"> HYPERLINK \l _Toc9970 </w:instrText>
          </w:r>
          <w:r>
            <w:rPr>
              <w:rFonts w:ascii="宋体" w:hAnsi="宋体" w:eastAsia="宋体" w:cs="宋体"/>
              <w:sz w:val="30"/>
              <w:szCs w:val="30"/>
            </w:rPr>
            <w:fldChar w:fldCharType="separate"/>
          </w:r>
          <w:r>
            <w:rPr>
              <w:rFonts w:hint="eastAsia" w:ascii="黑体" w:hAnsi="黑体" w:eastAsia="黑体" w:cs="黑体"/>
              <w:sz w:val="30"/>
              <w:szCs w:val="30"/>
              <w:lang w:val="en-US" w:eastAsia="zh-CN"/>
            </w:rPr>
            <w:t>（五）AO调频端口</w:t>
          </w:r>
          <w:r>
            <w:rPr>
              <w:sz w:val="30"/>
              <w:szCs w:val="30"/>
            </w:rPr>
            <w:tab/>
          </w:r>
          <w:r>
            <w:rPr>
              <w:sz w:val="30"/>
              <w:szCs w:val="30"/>
            </w:rPr>
            <w:fldChar w:fldCharType="begin"/>
          </w:r>
          <w:r>
            <w:rPr>
              <w:sz w:val="30"/>
              <w:szCs w:val="30"/>
            </w:rPr>
            <w:instrText xml:space="preserve"> PAGEREF _Toc9970 \h </w:instrText>
          </w:r>
          <w:r>
            <w:rPr>
              <w:sz w:val="30"/>
              <w:szCs w:val="30"/>
            </w:rPr>
            <w:fldChar w:fldCharType="separate"/>
          </w:r>
          <w:r>
            <w:rPr>
              <w:sz w:val="30"/>
              <w:szCs w:val="30"/>
            </w:rPr>
            <w:t>7</w:t>
          </w:r>
          <w:r>
            <w:rPr>
              <w:sz w:val="30"/>
              <w:szCs w:val="30"/>
            </w:rPr>
            <w:fldChar w:fldCharType="end"/>
          </w:r>
          <w:r>
            <w:rPr>
              <w:rFonts w:ascii="宋体" w:hAnsi="宋体" w:eastAsia="宋体" w:cs="宋体"/>
              <w:sz w:val="30"/>
              <w:szCs w:val="30"/>
            </w:rPr>
            <w:fldChar w:fldCharType="end"/>
          </w:r>
        </w:p>
        <w:p w14:paraId="3250F572">
          <w:r>
            <w:rPr>
              <w:rFonts w:ascii="宋体" w:hAnsi="宋体" w:eastAsia="宋体" w:cs="宋体"/>
              <w:szCs w:val="24"/>
            </w:rPr>
            <w:fldChar w:fldCharType="end"/>
          </w:r>
        </w:p>
      </w:sdtContent>
    </w:sdt>
    <w:p w14:paraId="77D49A8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581B9EFD">
      <w:pPr>
        <w:pStyle w:val="2"/>
        <w:keepNext w:val="0"/>
        <w:keepLines w:val="0"/>
        <w:pageBreakBefore w:val="0"/>
        <w:widowControl w:val="0"/>
        <w:kinsoku/>
        <w:wordWrap/>
        <w:overflowPunct/>
        <w:topLinePunct w:val="0"/>
        <w:autoSpaceDE/>
        <w:autoSpaceDN/>
        <w:bidi w:val="0"/>
        <w:adjustRightInd/>
        <w:snapToGrid/>
        <w:spacing w:before="157" w:beforeLines="50" w:beforeAutospacing="0" w:afterAutospacing="0" w:line="240" w:lineRule="atLeast"/>
        <w:textAlignment w:val="auto"/>
        <w:rPr>
          <w:rFonts w:hint="eastAsia" w:ascii="黑体" w:hAnsi="黑体" w:eastAsia="黑体" w:cs="黑体"/>
          <w:sz w:val="32"/>
          <w:szCs w:val="32"/>
        </w:rPr>
      </w:pPr>
      <w:bookmarkStart w:id="10" w:name="_Toc6587"/>
      <w:r>
        <w:rPr>
          <w:rFonts w:hint="eastAsia" w:ascii="黑体" w:hAnsi="黑体" w:eastAsia="黑体" w:cs="黑体"/>
          <w:sz w:val="32"/>
          <w:szCs w:val="32"/>
        </w:rPr>
        <w:t>一、项目概述</w:t>
      </w:r>
      <w:bookmarkEnd w:id="10"/>
    </w:p>
    <w:p w14:paraId="1B34E5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firstLine="420" w:firstLineChars="0"/>
        <w:jc w:val="left"/>
        <w:textAlignment w:val="auto"/>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本设备WLB_2C是一款基于蜂窝联网的一体化变频控制器，搭载4G Cat.1通信模组，底层运行 LuatOS嵌入式固件。设备集成电源状态检测、继电器开关输出控制、PWM 无级变频、负载运行状态检测、故障逻辑判别、MQTT云端交互、远程 FOTA 升级全套能力。面向电机、风机、水泵等负载实现</w:t>
      </w:r>
      <w:r>
        <w:rPr>
          <w:rFonts w:hint="eastAsia" w:ascii="仿宋" w:hAnsi="仿宋" w:eastAsia="仿宋" w:cs="仿宋"/>
          <w:b/>
          <w:bCs/>
          <w:color w:val="000000"/>
          <w:kern w:val="0"/>
          <w:sz w:val="30"/>
          <w:szCs w:val="30"/>
          <w:lang w:val="en-US" w:eastAsia="zh-CN" w:bidi="ar"/>
        </w:rPr>
        <w:t>状态采集、远程控制、故障自动监测报警</w:t>
      </w:r>
      <w:r>
        <w:rPr>
          <w:rFonts w:hint="eastAsia" w:ascii="仿宋" w:hAnsi="仿宋" w:eastAsia="仿宋" w:cs="仿宋"/>
          <w:color w:val="000000"/>
          <w:kern w:val="0"/>
          <w:sz w:val="30"/>
          <w:szCs w:val="30"/>
          <w:lang w:val="en-US" w:eastAsia="zh-CN" w:bidi="ar"/>
        </w:rPr>
        <w:t>一体化管控。</w:t>
      </w:r>
    </w:p>
    <w:p w14:paraId="19D8C31F">
      <w:pPr>
        <w:pStyle w:val="2"/>
        <w:keepNext w:val="0"/>
        <w:keepLines w:val="0"/>
        <w:pageBreakBefore w:val="0"/>
        <w:widowControl w:val="0"/>
        <w:kinsoku/>
        <w:wordWrap/>
        <w:overflowPunct/>
        <w:topLinePunct w:val="0"/>
        <w:autoSpaceDE/>
        <w:autoSpaceDN/>
        <w:bidi w:val="0"/>
        <w:adjustRightInd/>
        <w:snapToGrid/>
        <w:spacing w:before="157" w:beforeLines="50" w:beforeAutospacing="0" w:afterAutospacing="0" w:line="240" w:lineRule="atLeast"/>
        <w:textAlignment w:val="auto"/>
        <w:rPr>
          <w:rFonts w:hint="eastAsia" w:ascii="黑体" w:hAnsi="黑体" w:eastAsia="黑体" w:cs="黑体"/>
          <w:sz w:val="32"/>
          <w:szCs w:val="32"/>
          <w:lang w:val="en-US" w:eastAsia="zh-CN"/>
        </w:rPr>
      </w:pPr>
      <w:bookmarkStart w:id="11" w:name="_Toc19449"/>
      <w:r>
        <w:rPr>
          <w:rFonts w:hint="eastAsia" w:ascii="黑体" w:hAnsi="黑体" w:eastAsia="黑体" w:cs="黑体"/>
          <w:sz w:val="32"/>
          <w:szCs w:val="32"/>
          <w:lang w:val="en-US" w:eastAsia="zh-CN"/>
        </w:rPr>
        <w:t>二、典型应用场景</w:t>
      </w:r>
      <w:bookmarkEnd w:id="11"/>
    </w:p>
    <w:p w14:paraId="2C5FF5F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场景 1：风机/水泵电机状态监测</w:t>
      </w:r>
    </w:p>
    <w:p w14:paraId="203EC3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设备采集现场手动启停开关信号，并配合电流互感器实时采集电机工作电流，自动比对信号状态完成设备运行故障智能判别。</w:t>
      </w:r>
    </w:p>
    <w:p w14:paraId="02F30DF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场景 2：云端远程智能管控</w:t>
      </w:r>
    </w:p>
    <w:p w14:paraId="4DF0DF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支持通过 MQTT 云端下发远程控制指令，或启用设备内置定时循环场景，自动完成继电器启停、PWM 调速调节；同步采集电机电流信号，实时判别设备异常并同步上传故障信息至云端。</w:t>
      </w:r>
    </w:p>
    <w:p w14:paraId="6D3D13D2">
      <w:pPr>
        <w:pStyle w:val="2"/>
        <w:keepNext w:val="0"/>
        <w:keepLines w:val="0"/>
        <w:pageBreakBefore w:val="0"/>
        <w:widowControl w:val="0"/>
        <w:kinsoku/>
        <w:wordWrap/>
        <w:overflowPunct/>
        <w:topLinePunct w:val="0"/>
        <w:autoSpaceDE/>
        <w:autoSpaceDN/>
        <w:bidi w:val="0"/>
        <w:adjustRightInd/>
        <w:snapToGrid/>
        <w:spacing w:before="157" w:beforeLines="50" w:beforeAutospacing="0" w:afterAutospacing="0" w:line="240" w:lineRule="atLeast"/>
        <w:textAlignment w:val="auto"/>
        <w:rPr>
          <w:rFonts w:hint="default" w:ascii="黑体" w:hAnsi="黑体" w:eastAsia="黑体" w:cs="黑体"/>
          <w:sz w:val="32"/>
          <w:szCs w:val="32"/>
          <w:lang w:val="en-US" w:eastAsia="zh-CN"/>
        </w:rPr>
      </w:pPr>
      <w:bookmarkStart w:id="12" w:name="_Toc12664"/>
      <w:bookmarkStart w:id="13" w:name="_Toc4375"/>
      <w:r>
        <w:rPr>
          <w:rFonts w:hint="eastAsia" w:ascii="黑体" w:hAnsi="黑体" w:eastAsia="黑体" w:cs="黑体"/>
          <w:sz w:val="32"/>
          <w:szCs w:val="32"/>
          <w:lang w:val="en-US" w:eastAsia="zh-CN"/>
        </w:rPr>
        <w:t>三、设备供电</w:t>
      </w:r>
      <w:bookmarkEnd w:id="12"/>
      <w:bookmarkEnd w:id="13"/>
    </w:p>
    <w:p w14:paraId="5B607BF9">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14" w:name="_Toc28417"/>
      <w:r>
        <w:rPr>
          <w:rFonts w:hint="eastAsia" w:ascii="黑体" w:hAnsi="黑体" w:eastAsia="黑体" w:cs="黑体"/>
          <w:sz w:val="30"/>
          <w:szCs w:val="30"/>
          <w:lang w:val="en-US" w:eastAsia="zh-CN"/>
        </w:rPr>
        <w:t>（一）供电输入方式</w:t>
      </w:r>
      <w:bookmarkEnd w:id="14"/>
      <w:r>
        <w:rPr>
          <w:rFonts w:hint="eastAsia" w:ascii="黑体" w:hAnsi="黑体" w:eastAsia="黑体" w:cs="黑体"/>
          <w:sz w:val="30"/>
          <w:szCs w:val="30"/>
          <w:lang w:val="en-US" w:eastAsia="zh-CN"/>
        </w:rPr>
        <w:t xml:space="preserve"> </w:t>
      </w:r>
    </w:p>
    <w:p w14:paraId="319709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设备支持直接接入220VAC：输入电压范围为 110～265V 宽压交流。</w:t>
      </w:r>
    </w:p>
    <w:p w14:paraId="5A629CA8">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15" w:name="_Toc1096"/>
      <w:r>
        <w:rPr>
          <w:rFonts w:hint="eastAsia" w:ascii="黑体" w:hAnsi="黑体" w:eastAsia="黑体" w:cs="黑体"/>
          <w:sz w:val="30"/>
          <w:szCs w:val="30"/>
          <w:lang w:val="en-US" w:eastAsia="zh-CN"/>
        </w:rPr>
        <w:t>（二）内置备用电池</w:t>
      </w:r>
      <w:bookmarkEnd w:id="15"/>
      <w:r>
        <w:rPr>
          <w:rFonts w:hint="eastAsia" w:ascii="黑体" w:hAnsi="黑体" w:eastAsia="黑体" w:cs="黑体"/>
          <w:sz w:val="30"/>
          <w:szCs w:val="30"/>
          <w:lang w:val="en-US" w:eastAsia="zh-CN"/>
        </w:rPr>
        <w:t xml:space="preserve"> </w:t>
      </w:r>
    </w:p>
    <w:p w14:paraId="65E63C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设备搭载500mAh内置锂电池，具备自动充放电管理功能；外部供电断开时，设备可自动切换至电池供电。</w:t>
      </w:r>
    </w:p>
    <w:p w14:paraId="6CD9C0C7">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16" w:name="_Toc21250"/>
      <w:r>
        <w:rPr>
          <w:rFonts w:hint="eastAsia" w:ascii="黑体" w:hAnsi="黑体" w:eastAsia="黑体" w:cs="黑体"/>
          <w:sz w:val="30"/>
          <w:szCs w:val="30"/>
          <w:lang w:val="en-US" w:eastAsia="zh-CN"/>
        </w:rPr>
        <w:t>（三）电池供电范围限制</w:t>
      </w:r>
      <w:bookmarkEnd w:id="16"/>
      <w:r>
        <w:rPr>
          <w:rFonts w:hint="eastAsia" w:ascii="黑体" w:hAnsi="黑体" w:eastAsia="黑体" w:cs="黑体"/>
          <w:sz w:val="30"/>
          <w:szCs w:val="30"/>
          <w:lang w:val="en-US" w:eastAsia="zh-CN"/>
        </w:rPr>
        <w:t xml:space="preserve"> </w:t>
      </w:r>
    </w:p>
    <w:p w14:paraId="5FBED0F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设备内置电池仅为本机 MCU 与通信模块供电，核心作用是在外接电源断电后，持续采集现场手动启停开关信号及负载电流状态。可规避突发断电引发的检测、控制数据紊乱，防止故障判定失真与云端状态显示异常，杜绝误报警推送问题。</w:t>
      </w:r>
    </w:p>
    <w:p w14:paraId="3261119E">
      <w:pPr>
        <w:pStyle w:val="2"/>
        <w:keepNext w:val="0"/>
        <w:keepLines w:val="0"/>
        <w:pageBreakBefore w:val="0"/>
        <w:widowControl w:val="0"/>
        <w:kinsoku/>
        <w:wordWrap/>
        <w:overflowPunct/>
        <w:topLinePunct w:val="0"/>
        <w:autoSpaceDE/>
        <w:autoSpaceDN/>
        <w:bidi w:val="0"/>
        <w:adjustRightInd/>
        <w:snapToGrid/>
        <w:spacing w:before="157" w:beforeLines="50" w:beforeAutospacing="0" w:afterAutospacing="0" w:line="240" w:lineRule="atLeast"/>
        <w:textAlignment w:val="auto"/>
        <w:rPr>
          <w:rFonts w:hint="eastAsia" w:ascii="黑体" w:hAnsi="黑体" w:eastAsia="黑体" w:cs="黑体"/>
          <w:sz w:val="32"/>
          <w:szCs w:val="32"/>
          <w:lang w:val="en-US" w:eastAsia="zh-CN"/>
        </w:rPr>
      </w:pPr>
      <w:bookmarkStart w:id="17" w:name="_Toc4757"/>
      <w:r>
        <w:rPr>
          <w:rFonts w:hint="eastAsia" w:ascii="黑体" w:hAnsi="黑体" w:eastAsia="黑体" w:cs="黑体"/>
          <w:sz w:val="32"/>
          <w:szCs w:val="32"/>
          <w:lang w:val="en-US" w:eastAsia="zh-CN"/>
        </w:rPr>
        <w:t>四、设备运行状态指示灯</w:t>
      </w:r>
      <w:bookmarkEnd w:id="17"/>
    </w:p>
    <w:p w14:paraId="7F2A29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设备配备五颗 LED状态：联网状态灯、控制状态灯，和负载状态检测结果指示灯。使用过程中用户可根据指示灯闪烁频率识别系统运行状态。</w:t>
      </w:r>
    </w:p>
    <w:p w14:paraId="5A15C9B0">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18" w:name="_Toc2630"/>
      <w:r>
        <w:rPr>
          <w:rFonts w:hint="eastAsia" w:ascii="黑体" w:hAnsi="黑体" w:eastAsia="黑体" w:cs="黑体"/>
          <w:sz w:val="30"/>
          <w:szCs w:val="30"/>
          <w:lang w:val="en-US" w:eastAsia="zh-CN"/>
        </w:rPr>
        <w:t>（一）联网状态指示灯</w:t>
      </w:r>
      <w:bookmarkEnd w:id="18"/>
    </w:p>
    <w:tbl>
      <w:tblPr>
        <w:tblStyle w:val="1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49"/>
        <w:gridCol w:w="2735"/>
        <w:gridCol w:w="5568"/>
      </w:tblGrid>
      <w:tr w14:paraId="456F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15" w:type="dxa"/>
          <w:jc w:val="center"/>
        </w:trPr>
        <w:tc>
          <w:tcPr>
            <w:tcW w:w="904" w:type="dxa"/>
            <w:shd w:val="clear" w:color="auto" w:fill="auto"/>
            <w:vAlign w:val="center"/>
          </w:tcPr>
          <w:p w14:paraId="54C7F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b/>
                <w:bCs/>
                <w:color w:val="000000"/>
                <w:sz w:val="30"/>
                <w:szCs w:val="30"/>
              </w:rPr>
            </w:pPr>
            <w:r>
              <w:rPr>
                <w:rFonts w:hint="eastAsia" w:ascii="宋体" w:hAnsi="宋体" w:eastAsia="宋体" w:cs="宋体"/>
                <w:b/>
                <w:bCs/>
                <w:color w:val="000000"/>
                <w:kern w:val="0"/>
                <w:sz w:val="30"/>
                <w:szCs w:val="30"/>
                <w:lang w:val="en-US" w:eastAsia="zh-CN" w:bidi="ar"/>
              </w:rPr>
              <w:t>序号</w:t>
            </w:r>
          </w:p>
        </w:tc>
        <w:tc>
          <w:tcPr>
            <w:tcW w:w="2705" w:type="dxa"/>
            <w:shd w:val="clear" w:color="auto" w:fill="auto"/>
            <w:vAlign w:val="center"/>
          </w:tcPr>
          <w:p w14:paraId="53BF5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b/>
                <w:bCs/>
                <w:color w:val="000000"/>
                <w:sz w:val="30"/>
                <w:szCs w:val="30"/>
              </w:rPr>
            </w:pPr>
            <w:r>
              <w:rPr>
                <w:rFonts w:ascii="宋体" w:hAnsi="宋体" w:eastAsia="宋体" w:cs="宋体"/>
                <w:b/>
                <w:bCs/>
                <w:color w:val="000000"/>
                <w:kern w:val="0"/>
                <w:sz w:val="30"/>
                <w:szCs w:val="30"/>
                <w:lang w:val="en-US" w:eastAsia="zh-CN" w:bidi="ar"/>
              </w:rPr>
              <w:t>闪烁模式</w:t>
            </w:r>
          </w:p>
        </w:tc>
        <w:tc>
          <w:tcPr>
            <w:tcW w:w="5523" w:type="dxa"/>
            <w:shd w:val="clear" w:color="auto" w:fill="auto"/>
            <w:vAlign w:val="center"/>
          </w:tcPr>
          <w:p w14:paraId="7522E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b/>
                <w:bCs/>
                <w:color w:val="000000"/>
                <w:sz w:val="30"/>
                <w:szCs w:val="30"/>
              </w:rPr>
            </w:pPr>
            <w:r>
              <w:rPr>
                <w:rFonts w:ascii="宋体" w:hAnsi="宋体" w:eastAsia="宋体" w:cs="宋体"/>
                <w:b/>
                <w:bCs/>
                <w:color w:val="000000"/>
                <w:kern w:val="0"/>
                <w:sz w:val="30"/>
                <w:szCs w:val="30"/>
                <w:lang w:val="en-US" w:eastAsia="zh-CN" w:bidi="ar"/>
              </w:rPr>
              <w:t>设备状态含义</w:t>
            </w:r>
          </w:p>
        </w:tc>
      </w:tr>
      <w:tr w14:paraId="77F8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15" w:type="dxa"/>
          <w:jc w:val="center"/>
        </w:trPr>
        <w:tc>
          <w:tcPr>
            <w:tcW w:w="904" w:type="dxa"/>
            <w:shd w:val="clear" w:color="auto" w:fill="auto"/>
            <w:vAlign w:val="center"/>
          </w:tcPr>
          <w:p w14:paraId="06D6D8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1</w:t>
            </w:r>
          </w:p>
        </w:tc>
        <w:tc>
          <w:tcPr>
            <w:tcW w:w="2705" w:type="dxa"/>
            <w:shd w:val="clear" w:color="auto" w:fill="auto"/>
            <w:vAlign w:val="center"/>
          </w:tcPr>
          <w:p w14:paraId="229D4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200ms 快速闪烁</w:t>
            </w:r>
          </w:p>
        </w:tc>
        <w:tc>
          <w:tcPr>
            <w:tcW w:w="5523" w:type="dxa"/>
            <w:shd w:val="clear" w:color="auto" w:fill="auto"/>
            <w:vAlign w:val="center"/>
          </w:tcPr>
          <w:p w14:paraId="7B6DF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蜂窝网络注册、IP 获取中</w:t>
            </w:r>
          </w:p>
        </w:tc>
      </w:tr>
      <w:tr w14:paraId="206C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jc w:val="center"/>
        </w:trPr>
        <w:tc>
          <w:tcPr>
            <w:tcW w:w="904" w:type="dxa"/>
            <w:shd w:val="clear" w:color="auto" w:fill="auto"/>
            <w:vAlign w:val="center"/>
          </w:tcPr>
          <w:p w14:paraId="5D268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2</w:t>
            </w:r>
          </w:p>
        </w:tc>
        <w:tc>
          <w:tcPr>
            <w:tcW w:w="2705" w:type="dxa"/>
            <w:shd w:val="clear" w:color="auto" w:fill="auto"/>
            <w:vAlign w:val="center"/>
          </w:tcPr>
          <w:p w14:paraId="73490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1s 周期慢闪</w:t>
            </w:r>
          </w:p>
        </w:tc>
        <w:tc>
          <w:tcPr>
            <w:tcW w:w="5523" w:type="dxa"/>
            <w:shd w:val="clear" w:color="auto" w:fill="auto"/>
            <w:vAlign w:val="center"/>
          </w:tcPr>
          <w:p w14:paraId="6C28C0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MQTT 服务端连接成功</w:t>
            </w:r>
          </w:p>
        </w:tc>
      </w:tr>
      <w:tr w14:paraId="3C3F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jc w:val="center"/>
        </w:trPr>
        <w:tc>
          <w:tcPr>
            <w:tcW w:w="904" w:type="dxa"/>
            <w:shd w:val="clear" w:color="auto" w:fill="auto"/>
            <w:vAlign w:val="center"/>
          </w:tcPr>
          <w:p w14:paraId="14946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w:t>
            </w:r>
          </w:p>
        </w:tc>
        <w:tc>
          <w:tcPr>
            <w:tcW w:w="2705" w:type="dxa"/>
            <w:shd w:val="clear" w:color="auto" w:fill="auto"/>
            <w:vAlign w:val="center"/>
          </w:tcPr>
          <w:p w14:paraId="44B6E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3s 长间隔闪烁</w:t>
            </w:r>
          </w:p>
        </w:tc>
        <w:tc>
          <w:tcPr>
            <w:tcW w:w="5523" w:type="dxa"/>
            <w:shd w:val="clear" w:color="auto" w:fill="auto"/>
            <w:vAlign w:val="center"/>
          </w:tcPr>
          <w:p w14:paraId="24659B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30"/>
                <w:szCs w:val="30"/>
              </w:rPr>
            </w:pPr>
            <w:r>
              <w:rPr>
                <w:rFonts w:hint="eastAsia" w:ascii="仿宋" w:hAnsi="仿宋" w:eastAsia="仿宋" w:cs="仿宋"/>
                <w:color w:val="000000"/>
                <w:kern w:val="0"/>
                <w:sz w:val="30"/>
                <w:szCs w:val="30"/>
                <w:lang w:val="en-US" w:eastAsia="zh-CN" w:bidi="ar"/>
              </w:rPr>
              <w:t>MQTT 主题订阅完成，整机正常业务运行</w:t>
            </w:r>
          </w:p>
        </w:tc>
      </w:tr>
    </w:tbl>
    <w:p w14:paraId="7E8F5E0A">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19" w:name="_Toc4841"/>
      <w:r>
        <w:rPr>
          <w:rFonts w:hint="eastAsia" w:ascii="黑体" w:hAnsi="黑体" w:eastAsia="黑体" w:cs="黑体"/>
          <w:sz w:val="30"/>
          <w:szCs w:val="30"/>
          <w:lang w:val="en-US" w:eastAsia="zh-CN"/>
        </w:rPr>
        <w:t>（二）控制状态指示灯</w:t>
      </w:r>
      <w:bookmarkEnd w:id="19"/>
    </w:p>
    <w:p w14:paraId="29886F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状态指示灯与大功率继电器输出联动同步，继电器闭合输出时指示灯常亮，继电器断开停机时指示灯熄灭。</w:t>
      </w:r>
    </w:p>
    <w:p w14:paraId="456A8E61">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0" w:name="_Toc12551"/>
      <w:r>
        <w:rPr>
          <w:rFonts w:hint="eastAsia" w:ascii="黑体" w:hAnsi="黑体" w:eastAsia="黑体" w:cs="黑体"/>
          <w:sz w:val="30"/>
          <w:szCs w:val="30"/>
          <w:lang w:val="en-US" w:eastAsia="zh-CN"/>
        </w:rPr>
        <w:t>（三）负载运行状态指示灯L1/L2/L3</w:t>
      </w:r>
      <w:bookmarkEnd w:id="20"/>
    </w:p>
    <w:p w14:paraId="583E1C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交流互感器采集到负载工作电流时，运行指示灯保持常亮或闪烁；互感器无电流输入时指示灯熄灭。</w:t>
      </w:r>
    </w:p>
    <w:p w14:paraId="4C42A248">
      <w:pPr>
        <w:pStyle w:val="2"/>
        <w:keepNext w:val="0"/>
        <w:keepLines w:val="0"/>
        <w:pageBreakBefore w:val="0"/>
        <w:widowControl w:val="0"/>
        <w:kinsoku/>
        <w:wordWrap/>
        <w:overflowPunct/>
        <w:topLinePunct w:val="0"/>
        <w:autoSpaceDE/>
        <w:autoSpaceDN/>
        <w:bidi w:val="0"/>
        <w:adjustRightInd/>
        <w:snapToGrid/>
        <w:spacing w:before="157" w:beforeLines="50" w:beforeAutospacing="0" w:afterAutospacing="0" w:line="240" w:lineRule="atLeast"/>
        <w:textAlignment w:val="auto"/>
        <w:rPr>
          <w:rFonts w:hint="eastAsia" w:ascii="黑体" w:hAnsi="黑体" w:eastAsia="黑体" w:cs="黑体"/>
          <w:sz w:val="32"/>
          <w:szCs w:val="32"/>
          <w:lang w:val="en-US" w:eastAsia="zh-CN"/>
        </w:rPr>
      </w:pPr>
      <w:bookmarkStart w:id="21" w:name="_Toc22790"/>
      <w:r>
        <w:rPr>
          <w:rFonts w:hint="eastAsia" w:ascii="黑体" w:hAnsi="黑体" w:eastAsia="黑体" w:cs="黑体"/>
          <w:sz w:val="32"/>
          <w:szCs w:val="32"/>
          <w:lang w:val="en-US" w:eastAsia="zh-CN"/>
        </w:rPr>
        <w:t>五、 核心功能详解</w:t>
      </w:r>
      <w:bookmarkEnd w:id="21"/>
    </w:p>
    <w:p w14:paraId="61239CAA">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2" w:name="_Toc6833"/>
      <w:r>
        <w:rPr>
          <w:rFonts w:hint="eastAsia" w:ascii="黑体" w:hAnsi="黑体" w:eastAsia="黑体" w:cs="黑体"/>
          <w:sz w:val="30"/>
          <w:szCs w:val="30"/>
          <w:lang w:val="en-US" w:eastAsia="zh-CN"/>
        </w:rPr>
        <w:t>（一）智能故障自动判别功能</w:t>
      </w:r>
      <w:bookmarkEnd w:id="22"/>
    </w:p>
    <w:p w14:paraId="7A2BAB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内置启停开关信号联动、输出控制联动两类故障检测模式，可通过硬件拨码开关自由切换；双检测机制可覆盖负载运行不同步、供电电源故障、电源采样异常、启停控制失效等各类异常工况。设备全天候实时采集整机运行工况，一旦识别故障，将同步把故障信息推送至云端平台。</w:t>
      </w:r>
    </w:p>
    <w:p w14:paraId="43352B6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 xml:space="preserve">1、双联动故障检测模式，硬件拨码开关切换 </w:t>
      </w:r>
    </w:p>
    <w:p w14:paraId="319120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 xml:space="preserve">（1）本地开关联动模式：采集现场手动启停开关信号与负载电流采样信号做状态比对，完成设备故障判定； </w:t>
      </w:r>
    </w:p>
    <w:p w14:paraId="0A604C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（2）输出控制联动模式：结合手动启停开关、供电电源、继电器输出三路信号综合诊断故障；（注：继电器闭合运行期间支持在线调节 PWM 变频输出频率）</w:t>
      </w:r>
    </w:p>
    <w:p w14:paraId="1665F47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 xml:space="preserve">2、全天候实时智能故障识别 </w:t>
      </w:r>
    </w:p>
    <w:p w14:paraId="20D4C6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 xml:space="preserve">（1）依托开关信号、输出控制双联动检测机制，可精准识别负载运行不同步、供电电源故障、电源采样异常、启停控制失效等各类设备异常工况； </w:t>
      </w:r>
    </w:p>
    <w:p w14:paraId="7B4EE9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（2）设备 7×24 小时持续采集运行工况，一旦检测到故障，相关信息将实时同步上传至云端平台。</w:t>
      </w:r>
    </w:p>
    <w:p w14:paraId="4ED6624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3、故障表Alm1</w:t>
      </w:r>
    </w:p>
    <w:tbl>
      <w:tblPr>
        <w:tblStyle w:val="12"/>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894"/>
        <w:gridCol w:w="638"/>
        <w:gridCol w:w="7742"/>
      </w:tblGrid>
      <w:tr w14:paraId="401A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15" w:type="dxa"/>
        </w:trPr>
        <w:tc>
          <w:tcPr>
            <w:tcW w:w="1849" w:type="dxa"/>
            <w:shd w:val="clear" w:color="auto" w:fill="auto"/>
            <w:vAlign w:val="center"/>
          </w:tcPr>
          <w:p w14:paraId="414F65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状态</w:t>
            </w:r>
          </w:p>
        </w:tc>
        <w:tc>
          <w:tcPr>
            <w:tcW w:w="608" w:type="dxa"/>
            <w:shd w:val="clear" w:color="auto" w:fill="auto"/>
            <w:vAlign w:val="center"/>
          </w:tcPr>
          <w:p w14:paraId="0C7553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eastAsiaTheme="minorEastAsia"/>
                <w:b/>
                <w:bCs/>
                <w:color w:val="000000"/>
                <w:sz w:val="28"/>
                <w:szCs w:val="28"/>
                <w:lang w:val="en-US" w:eastAsia="zh-CN"/>
              </w:rPr>
            </w:pPr>
            <w:r>
              <w:rPr>
                <w:rFonts w:hint="eastAsia"/>
                <w:b/>
                <w:bCs/>
                <w:color w:val="000000"/>
                <w:sz w:val="28"/>
                <w:szCs w:val="28"/>
                <w:lang w:val="en-US" w:eastAsia="zh-CN"/>
              </w:rPr>
              <w:t>标识</w:t>
            </w:r>
          </w:p>
        </w:tc>
        <w:tc>
          <w:tcPr>
            <w:tcW w:w="7697" w:type="dxa"/>
            <w:shd w:val="clear" w:color="auto" w:fill="auto"/>
            <w:vAlign w:val="center"/>
          </w:tcPr>
          <w:p w14:paraId="7CB04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b/>
                <w:bCs/>
                <w:color w:val="000000"/>
                <w:sz w:val="28"/>
                <w:szCs w:val="28"/>
              </w:rPr>
            </w:pPr>
            <w:r>
              <w:rPr>
                <w:rFonts w:ascii="宋体" w:hAnsi="宋体" w:eastAsia="宋体" w:cs="宋体"/>
                <w:b/>
                <w:bCs/>
                <w:color w:val="000000"/>
                <w:kern w:val="0"/>
                <w:sz w:val="28"/>
                <w:szCs w:val="28"/>
                <w:lang w:val="en-US" w:eastAsia="zh-CN" w:bidi="ar"/>
              </w:rPr>
              <w:t>设备状态含义</w:t>
            </w:r>
          </w:p>
        </w:tc>
      </w:tr>
      <w:tr w14:paraId="0E35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15" w:type="dxa"/>
        </w:trPr>
        <w:tc>
          <w:tcPr>
            <w:tcW w:w="1849" w:type="dxa"/>
            <w:shd w:val="clear" w:color="auto" w:fill="auto"/>
            <w:vAlign w:val="center"/>
          </w:tcPr>
          <w:p w14:paraId="11E35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正常</w:t>
            </w:r>
          </w:p>
        </w:tc>
        <w:tc>
          <w:tcPr>
            <w:tcW w:w="608" w:type="dxa"/>
            <w:shd w:val="clear" w:color="auto" w:fill="auto"/>
            <w:vAlign w:val="center"/>
          </w:tcPr>
          <w:p w14:paraId="1B644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w:t>
            </w:r>
          </w:p>
        </w:tc>
        <w:tc>
          <w:tcPr>
            <w:tcW w:w="7697" w:type="dxa"/>
            <w:shd w:val="clear" w:color="auto" w:fill="auto"/>
            <w:vAlign w:val="center"/>
          </w:tcPr>
          <w:p w14:paraId="6F514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无故障信号</w:t>
            </w:r>
          </w:p>
        </w:tc>
      </w:tr>
      <w:tr w14:paraId="030E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15" w:type="dxa"/>
        </w:trPr>
        <w:tc>
          <w:tcPr>
            <w:tcW w:w="1849" w:type="dxa"/>
            <w:shd w:val="clear" w:color="auto" w:fill="auto"/>
            <w:vAlign w:val="center"/>
          </w:tcPr>
          <w:p w14:paraId="779F33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设备缺电</w:t>
            </w:r>
          </w:p>
        </w:tc>
        <w:tc>
          <w:tcPr>
            <w:tcW w:w="608" w:type="dxa"/>
            <w:shd w:val="clear" w:color="auto" w:fill="auto"/>
            <w:vAlign w:val="center"/>
          </w:tcPr>
          <w:p w14:paraId="0ABD4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p>
        </w:tc>
        <w:tc>
          <w:tcPr>
            <w:tcW w:w="7697" w:type="dxa"/>
            <w:shd w:val="clear" w:color="auto" w:fill="auto"/>
            <w:vAlign w:val="center"/>
          </w:tcPr>
          <w:p w14:paraId="2CFF70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设备无外部电源供电，最后时刻是由电池供电</w:t>
            </w:r>
          </w:p>
        </w:tc>
      </w:tr>
      <w:tr w14:paraId="5541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tblCellSpacing w:w="15" w:type="dxa"/>
        </w:trPr>
        <w:tc>
          <w:tcPr>
            <w:tcW w:w="10214" w:type="dxa"/>
            <w:gridSpan w:val="3"/>
            <w:shd w:val="clear" w:color="auto" w:fill="auto"/>
            <w:vAlign w:val="center"/>
          </w:tcPr>
          <w:p w14:paraId="2CC11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color w:val="000000"/>
                <w:kern w:val="0"/>
                <w:sz w:val="28"/>
                <w:szCs w:val="28"/>
                <w:lang w:val="en-US" w:eastAsia="zh-CN" w:bidi="ar"/>
              </w:rPr>
            </w:pPr>
            <w:bookmarkStart w:id="27" w:name="_GoBack"/>
            <w:bookmarkEnd w:id="27"/>
            <w:r>
              <w:rPr>
                <w:rFonts w:hint="eastAsia" w:ascii="宋体" w:hAnsi="宋体" w:eastAsia="宋体" w:cs="宋体"/>
                <w:b/>
                <w:bCs/>
                <w:color w:val="000000"/>
                <w:kern w:val="0"/>
                <w:sz w:val="28"/>
                <w:szCs w:val="28"/>
                <w:lang w:val="en-US" w:eastAsia="zh-CN" w:bidi="ar"/>
              </w:rPr>
              <w:t>本地开关联动模式</w:t>
            </w:r>
          </w:p>
        </w:tc>
      </w:tr>
      <w:tr w14:paraId="1957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2B7F72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sz w:val="28"/>
                <w:szCs w:val="28"/>
                <w:lang w:val="en-US" w:eastAsia="zh-CN"/>
              </w:rPr>
              <w:t>负载未停止</w:t>
            </w:r>
          </w:p>
        </w:tc>
        <w:tc>
          <w:tcPr>
            <w:tcW w:w="608" w:type="dxa"/>
            <w:shd w:val="clear" w:color="auto" w:fill="auto"/>
            <w:vAlign w:val="center"/>
          </w:tcPr>
          <w:p w14:paraId="2E4E1A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2</w:t>
            </w:r>
          </w:p>
        </w:tc>
        <w:tc>
          <w:tcPr>
            <w:tcW w:w="7697" w:type="dxa"/>
            <w:shd w:val="clear" w:color="auto" w:fill="auto"/>
            <w:vAlign w:val="center"/>
          </w:tcPr>
          <w:p w14:paraId="2084F44A">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left="0" w:right="0" w:hanging="36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DI检测端口信号断开后，负载电流L1-2-3未同步停止。</w:t>
            </w:r>
          </w:p>
        </w:tc>
      </w:tr>
      <w:tr w14:paraId="35BA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6124E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负载未启动</w:t>
            </w:r>
          </w:p>
        </w:tc>
        <w:tc>
          <w:tcPr>
            <w:tcW w:w="608" w:type="dxa"/>
            <w:shd w:val="clear" w:color="auto" w:fill="auto"/>
            <w:vAlign w:val="center"/>
          </w:tcPr>
          <w:p w14:paraId="72301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3</w:t>
            </w:r>
          </w:p>
        </w:tc>
        <w:tc>
          <w:tcPr>
            <w:tcW w:w="7697" w:type="dxa"/>
            <w:shd w:val="clear" w:color="auto" w:fill="auto"/>
            <w:vAlign w:val="center"/>
          </w:tcPr>
          <w:p w14:paraId="5747D9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rPr>
            </w:pPr>
            <w:r>
              <w:rPr>
                <w:rFonts w:hint="eastAsia" w:ascii="仿宋" w:hAnsi="仿宋" w:eastAsia="仿宋" w:cs="仿宋"/>
                <w:color w:val="000000"/>
                <w:sz w:val="28"/>
                <w:szCs w:val="28"/>
                <w:lang w:val="en-US" w:eastAsia="zh-CN"/>
              </w:rPr>
              <w:t>DI检测端口信号断开后，负载电流L1-2-3未同步启动。</w:t>
            </w:r>
          </w:p>
        </w:tc>
      </w:tr>
      <w:tr w14:paraId="7CFF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0214" w:type="dxa"/>
            <w:gridSpan w:val="3"/>
            <w:shd w:val="clear" w:color="auto" w:fill="auto"/>
            <w:vAlign w:val="center"/>
          </w:tcPr>
          <w:p w14:paraId="4CEB9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输出控制关联模式</w:t>
            </w:r>
          </w:p>
        </w:tc>
      </w:tr>
      <w:tr w14:paraId="0867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40653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开关断路</w:t>
            </w:r>
          </w:p>
        </w:tc>
        <w:tc>
          <w:tcPr>
            <w:tcW w:w="608" w:type="dxa"/>
            <w:shd w:val="clear" w:color="auto" w:fill="auto"/>
            <w:vAlign w:val="center"/>
          </w:tcPr>
          <w:p w14:paraId="5E044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w:t>
            </w:r>
          </w:p>
        </w:tc>
        <w:tc>
          <w:tcPr>
            <w:tcW w:w="7697" w:type="dxa"/>
            <w:shd w:val="clear" w:color="auto" w:fill="auto"/>
            <w:vAlign w:val="center"/>
          </w:tcPr>
          <w:p w14:paraId="4B4D9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DI检测端口读取的本地空开、交流接触器断开、或三相电缺相</w:t>
            </w:r>
          </w:p>
        </w:tc>
      </w:tr>
      <w:tr w14:paraId="40FA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79BF4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开关异常</w:t>
            </w:r>
          </w:p>
        </w:tc>
        <w:tc>
          <w:tcPr>
            <w:tcW w:w="608" w:type="dxa"/>
            <w:shd w:val="clear" w:color="auto" w:fill="auto"/>
            <w:vAlign w:val="center"/>
          </w:tcPr>
          <w:p w14:paraId="6D342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w:t>
            </w:r>
          </w:p>
        </w:tc>
        <w:tc>
          <w:tcPr>
            <w:tcW w:w="7697" w:type="dxa"/>
            <w:shd w:val="clear" w:color="auto" w:fill="auto"/>
            <w:vAlign w:val="center"/>
          </w:tcPr>
          <w:p w14:paraId="3C352D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rPr>
            </w:pPr>
            <w:r>
              <w:rPr>
                <w:rFonts w:hint="eastAsia" w:ascii="仿宋" w:hAnsi="仿宋" w:eastAsia="仿宋" w:cs="仿宋"/>
                <w:color w:val="000000"/>
                <w:sz w:val="28"/>
                <w:szCs w:val="28"/>
                <w:lang w:val="en-US" w:eastAsia="zh-CN"/>
              </w:rPr>
              <w:t>DI检测端口信号断开，但输出控制或负载未同步关断/停止</w:t>
            </w:r>
          </w:p>
        </w:tc>
      </w:tr>
      <w:tr w14:paraId="2BB4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17ACC7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控制停止失败</w:t>
            </w:r>
          </w:p>
        </w:tc>
        <w:tc>
          <w:tcPr>
            <w:tcW w:w="608" w:type="dxa"/>
            <w:shd w:val="clear" w:color="auto" w:fill="auto"/>
            <w:vAlign w:val="center"/>
          </w:tcPr>
          <w:p w14:paraId="64975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w:t>
            </w:r>
          </w:p>
        </w:tc>
        <w:tc>
          <w:tcPr>
            <w:tcW w:w="7697" w:type="dxa"/>
            <w:shd w:val="clear" w:color="auto" w:fill="auto"/>
            <w:vAlign w:val="center"/>
          </w:tcPr>
          <w:p w14:paraId="1193E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DI检测端口信号闭合，输出控制断开，但负载未停止</w:t>
            </w:r>
          </w:p>
        </w:tc>
      </w:tr>
      <w:tr w14:paraId="1774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849" w:type="dxa"/>
            <w:shd w:val="clear" w:color="auto" w:fill="auto"/>
            <w:vAlign w:val="center"/>
          </w:tcPr>
          <w:p w14:paraId="4A945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控制启动失败</w:t>
            </w:r>
          </w:p>
        </w:tc>
        <w:tc>
          <w:tcPr>
            <w:tcW w:w="608" w:type="dxa"/>
            <w:shd w:val="clear" w:color="auto" w:fill="auto"/>
            <w:vAlign w:val="center"/>
          </w:tcPr>
          <w:p w14:paraId="1170F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w:t>
            </w:r>
          </w:p>
        </w:tc>
        <w:tc>
          <w:tcPr>
            <w:tcW w:w="7697" w:type="dxa"/>
            <w:shd w:val="clear" w:color="auto" w:fill="auto"/>
            <w:vAlign w:val="center"/>
          </w:tcPr>
          <w:p w14:paraId="13052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DI检测端口信号闭合，输出控制闭合，但负载未启动</w:t>
            </w:r>
          </w:p>
        </w:tc>
      </w:tr>
    </w:tbl>
    <w:p w14:paraId="3D1BE9A5">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3" w:name="_Toc9898"/>
      <w:r>
        <w:rPr>
          <w:rFonts w:hint="eastAsia" w:ascii="黑体" w:hAnsi="黑体" w:eastAsia="黑体" w:cs="黑体"/>
          <w:sz w:val="30"/>
          <w:szCs w:val="30"/>
          <w:lang w:val="en-US" w:eastAsia="zh-CN"/>
        </w:rPr>
        <w:t>（二）负载电流检测端口</w:t>
      </w:r>
      <w:bookmarkEnd w:id="23"/>
    </w:p>
    <w:p w14:paraId="179A053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1、设备支持两种电流检测模式，可通过硬件选择开关切换</w:t>
      </w:r>
    </w:p>
    <w:p w14:paraId="6F77E0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 xml:space="preserve">单路电流检测适配单相负载，三路电流检测适配三相负载。 </w:t>
      </w:r>
    </w:p>
    <w:p w14:paraId="33B3C3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2、外接电流互感器实时采集电机工作电流状态</w:t>
      </w:r>
    </w:p>
    <w:p w14:paraId="57EF84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（1）采集时序参数为：基础扫描周期 50ms，电平防抖复读间隔 5ms。</w:t>
      </w:r>
    </w:p>
    <w:p w14:paraId="3488F7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 xml:space="preserve">（2）用户可通过设备配套灵敏度调节开关自定义电流检测阈值：确保电机低负载运行时状态指示灯常亮，避免无故熄灭。 </w:t>
      </w:r>
    </w:p>
    <w:p w14:paraId="4F517F5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3、同步更新联动判障基准</w:t>
      </w:r>
    </w:p>
    <w:p w14:paraId="3F604B0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当设备在本地开关联动/输出控制联动两种故障检测模式相互切换后、或控制模式切换后，设备将自动重载采集负载电流，同步更新联动判障基准。</w:t>
      </w:r>
    </w:p>
    <w:p w14:paraId="03050EA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4、电流互感器选型要求：</w:t>
      </w:r>
    </w:p>
    <w:p w14:paraId="12839E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（1）采集工频负载电流、输出电流型互感器：二次输出最大电流不得大于 100mA；</w:t>
      </w:r>
    </w:p>
    <w:p w14:paraId="5353E2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 xml:space="preserve">（2）采集变频负载电流、电压输出型霍尔互感器：输出最大电压不得超过5V。 </w:t>
      </w:r>
    </w:p>
    <w:p w14:paraId="69ABF8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（3）配套推荐选型参数详见下表。</w:t>
      </w:r>
    </w:p>
    <w:p w14:paraId="0FF557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default"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5、接线示意图</w:t>
      </w:r>
    </w:p>
    <w:p w14:paraId="7610CCE0">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4" w:name="_Toc22012"/>
      <w:r>
        <w:rPr>
          <w:rFonts w:hint="eastAsia" w:ascii="黑体" w:hAnsi="黑体" w:eastAsia="黑体" w:cs="黑体"/>
          <w:sz w:val="30"/>
          <w:szCs w:val="30"/>
          <w:lang w:val="en-US" w:eastAsia="zh-CN"/>
        </w:rPr>
        <w:t>（三）本地开关信号检测端口</w:t>
      </w:r>
      <w:bookmarkEnd w:id="24"/>
    </w:p>
    <w:p w14:paraId="4CD68A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可用于采集交流接触器吸合/分断状态，也可通过中间继电器、三相继电器获取空气开关通断状态。设备将上述采集状态与选定的双联动故障检测模式结合，自动完成故障智能判定，并同步把全部检测数据实时上传至云端。</w:t>
      </w:r>
    </w:p>
    <w:p w14:paraId="29FCA2C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1、接线示意图</w:t>
      </w:r>
    </w:p>
    <w:p w14:paraId="5DF92B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p>
    <w:p w14:paraId="21DDD86F">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5" w:name="_Toc15298"/>
      <w:r>
        <w:rPr>
          <w:rFonts w:hint="eastAsia" w:ascii="黑体" w:hAnsi="黑体" w:eastAsia="黑体" w:cs="黑体"/>
          <w:sz w:val="30"/>
          <w:szCs w:val="30"/>
          <w:lang w:val="en-US" w:eastAsia="zh-CN"/>
        </w:rPr>
        <w:t>（四）继电器开关输出控制端口</w:t>
      </w:r>
      <w:bookmarkEnd w:id="25"/>
    </w:p>
    <w:p w14:paraId="27FB66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设备采用双路大功率继电器集成设计，整合为单路独立输出通道，可精准实现电机、变频器的启停控制，适配各类工业动力设备的常规运行管控需求。</w:t>
      </w:r>
    </w:p>
    <w:p w14:paraId="112818B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内置专属定时循环控制逻辑，断网离线状态下仍可驱动继电器按预设周期自动启停，保障设备无人值守工况下的稳定运行。同时设备兼容MQTT云端指令传输协议，可接收云端远程遥控指令，实时切换继电器通断状态，实现远程智能化管控。</w:t>
      </w:r>
    </w:p>
    <w:p w14:paraId="1717A1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default"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1、开关控制动作模式</w:t>
      </w:r>
    </w:p>
    <w:p w14:paraId="6A21DC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本设备输出控制端口支持两种动作模式，用户可根据实际需求通过硬件拔码开关切换，选用开关输出控制动作模式。</w:t>
      </w:r>
    </w:p>
    <w:p w14:paraId="30890BF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（1）自锁控制说明：输出保持当前状态，无自动复位（适合本设备直接控制交流接触器线圈场景）。</w:t>
      </w:r>
    </w:p>
    <w:p w14:paraId="1B1208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（2）点动互锁说明：常开、常闭引脚互斥驱动，松开立即断开（适合本设备直接控制变频器启停或与用用户电箱启停按键共同控制交流接触器线圈）</w:t>
      </w:r>
    </w:p>
    <w:p w14:paraId="31999B9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（3）控制动作模式切换完成后设备将强制重新采集负载电流数据，同步更新故障联动判定依据。依托启停开关、供电电源、继电器输出三路信号联动判障机制，实现控制、检测、故障判别一体化联动。</w:t>
      </w:r>
    </w:p>
    <w:p w14:paraId="0E4459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416" w:leftChars="198" w:right="0" w:rightChars="0" w:firstLine="4" w:firstLineChars="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（4）当设备处于本地开关联动故障检测模式下，输出控制端口强制关闭。</w:t>
      </w:r>
    </w:p>
    <w:p w14:paraId="10BD4F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default"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2、开关输出端口使能</w:t>
      </w:r>
    </w:p>
    <w:p w14:paraId="5A1415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用户可通过硬件拨码开关切换至输出控制联动故障检测模式启用输出端口，当继电器闭合运行过程中，支持在线调节PWM变频输出频率，兼顾设备运行灵活性与故障检测精准性。</w:t>
      </w:r>
    </w:p>
    <w:tbl>
      <w:tblPr>
        <w:tblStyle w:val="12"/>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58"/>
        <w:gridCol w:w="1903"/>
        <w:gridCol w:w="5860"/>
      </w:tblGrid>
      <w:tr w14:paraId="2FF5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blCellSpacing w:w="15" w:type="dxa"/>
        </w:trPr>
        <w:tc>
          <w:tcPr>
            <w:tcW w:w="2413" w:type="dxa"/>
            <w:shd w:val="clear" w:color="auto" w:fill="auto"/>
            <w:vAlign w:val="center"/>
          </w:tcPr>
          <w:p w14:paraId="16FA5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color w:val="000000"/>
                <w:kern w:val="0"/>
                <w:sz w:val="28"/>
                <w:szCs w:val="28"/>
                <w:lang w:val="en-US" w:eastAsia="zh-CN" w:bidi="ar"/>
              </w:rPr>
            </w:pPr>
            <w:r>
              <w:rPr>
                <w:rStyle w:val="15"/>
                <w:rFonts w:hint="eastAsia" w:ascii="宋体" w:hAnsi="宋体" w:eastAsia="宋体" w:cs="宋体"/>
                <w:b/>
                <w:bCs w:val="0"/>
                <w:color w:val="000000"/>
                <w:kern w:val="0"/>
                <w:sz w:val="28"/>
                <w:szCs w:val="28"/>
                <w:lang w:val="en-US" w:eastAsia="zh-CN" w:bidi="ar"/>
              </w:rPr>
              <w:t>故障检测模式</w:t>
            </w:r>
          </w:p>
        </w:tc>
        <w:tc>
          <w:tcPr>
            <w:tcW w:w="1873" w:type="dxa"/>
            <w:shd w:val="clear" w:color="auto" w:fill="auto"/>
            <w:vAlign w:val="center"/>
          </w:tcPr>
          <w:p w14:paraId="655B2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开关控制模式</w:t>
            </w:r>
          </w:p>
        </w:tc>
        <w:tc>
          <w:tcPr>
            <w:tcW w:w="5815" w:type="dxa"/>
            <w:shd w:val="clear" w:color="auto" w:fill="auto"/>
            <w:vAlign w:val="center"/>
          </w:tcPr>
          <w:p w14:paraId="739AC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执行动作</w:t>
            </w:r>
          </w:p>
        </w:tc>
      </w:tr>
      <w:tr w14:paraId="1632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2413" w:type="dxa"/>
            <w:vMerge w:val="restart"/>
            <w:shd w:val="clear" w:color="auto" w:fill="auto"/>
            <w:vAlign w:val="center"/>
          </w:tcPr>
          <w:p w14:paraId="41C00B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控制关联模式</w:t>
            </w:r>
          </w:p>
        </w:tc>
        <w:tc>
          <w:tcPr>
            <w:tcW w:w="1873" w:type="dxa"/>
            <w:shd w:val="clear" w:color="auto" w:fill="auto"/>
            <w:vAlign w:val="center"/>
          </w:tcPr>
          <w:p w14:paraId="0FB0C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点动互锁模式</w:t>
            </w:r>
          </w:p>
        </w:tc>
        <w:tc>
          <w:tcPr>
            <w:tcW w:w="5815" w:type="dxa"/>
            <w:shd w:val="clear" w:color="auto" w:fill="auto"/>
            <w:vAlign w:val="center"/>
          </w:tcPr>
          <w:p w14:paraId="274D4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允许所有输出控制功能</w:t>
            </w:r>
          </w:p>
        </w:tc>
      </w:tr>
      <w:tr w14:paraId="62B3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2413" w:type="dxa"/>
            <w:vMerge w:val="continue"/>
            <w:shd w:val="clear" w:color="auto" w:fill="auto"/>
            <w:vAlign w:val="center"/>
          </w:tcPr>
          <w:p w14:paraId="06056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p>
        </w:tc>
        <w:tc>
          <w:tcPr>
            <w:tcW w:w="1873" w:type="dxa"/>
            <w:shd w:val="clear" w:color="auto" w:fill="auto"/>
            <w:vAlign w:val="center"/>
          </w:tcPr>
          <w:p w14:paraId="2263B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常开自锁模式</w:t>
            </w:r>
          </w:p>
        </w:tc>
        <w:tc>
          <w:tcPr>
            <w:tcW w:w="5815" w:type="dxa"/>
            <w:shd w:val="clear" w:color="auto" w:fill="auto"/>
            <w:vAlign w:val="center"/>
          </w:tcPr>
          <w:p w14:paraId="1F48C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允许所有输出控制功能</w:t>
            </w:r>
          </w:p>
        </w:tc>
      </w:tr>
      <w:tr w14:paraId="39FD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2413" w:type="dxa"/>
            <w:vMerge w:val="restart"/>
            <w:shd w:val="clear" w:color="auto" w:fill="auto"/>
            <w:vAlign w:val="center"/>
          </w:tcPr>
          <w:p w14:paraId="57670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本地开关联动模式</w:t>
            </w:r>
          </w:p>
        </w:tc>
        <w:tc>
          <w:tcPr>
            <w:tcW w:w="1873" w:type="dxa"/>
            <w:shd w:val="clear" w:color="auto" w:fill="auto"/>
            <w:vAlign w:val="center"/>
          </w:tcPr>
          <w:p w14:paraId="1FD92E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点动互锁模式</w:t>
            </w:r>
          </w:p>
        </w:tc>
        <w:tc>
          <w:tcPr>
            <w:tcW w:w="5815" w:type="dxa"/>
            <w:shd w:val="clear" w:color="auto" w:fill="auto"/>
            <w:vAlign w:val="center"/>
          </w:tcPr>
          <w:p w14:paraId="62522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禁用：强制切断全部 DO 输出</w:t>
            </w:r>
          </w:p>
        </w:tc>
      </w:tr>
      <w:tr w14:paraId="2C76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2413" w:type="dxa"/>
            <w:vMerge w:val="continue"/>
            <w:shd w:val="clear" w:color="auto" w:fill="auto"/>
            <w:vAlign w:val="center"/>
          </w:tcPr>
          <w:p w14:paraId="15DD5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p>
        </w:tc>
        <w:tc>
          <w:tcPr>
            <w:tcW w:w="1873" w:type="dxa"/>
            <w:shd w:val="clear" w:color="auto" w:fill="auto"/>
            <w:vAlign w:val="center"/>
          </w:tcPr>
          <w:p w14:paraId="3362C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常开自锁模式</w:t>
            </w:r>
          </w:p>
        </w:tc>
        <w:tc>
          <w:tcPr>
            <w:tcW w:w="5815" w:type="dxa"/>
            <w:shd w:val="clear" w:color="auto" w:fill="auto"/>
            <w:vAlign w:val="center"/>
          </w:tcPr>
          <w:p w14:paraId="05846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禁用：强制切断全部 DO 输出</w:t>
            </w:r>
          </w:p>
        </w:tc>
      </w:tr>
    </w:tbl>
    <w:p w14:paraId="4015B8F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Chars="0" w:right="0" w:rightChars="0"/>
        <w:jc w:val="left"/>
        <w:rPr>
          <w:rStyle w:val="15"/>
          <w:rFonts w:hint="eastAsia" w:ascii="宋体" w:hAnsi="宋体" w:eastAsia="宋体" w:cs="宋体"/>
          <w:b/>
          <w:bCs w:val="0"/>
          <w:color w:val="000000"/>
          <w:kern w:val="0"/>
          <w:sz w:val="30"/>
          <w:szCs w:val="30"/>
          <w:lang w:val="en-US" w:eastAsia="zh-CN" w:bidi="ar"/>
        </w:rPr>
      </w:pPr>
      <w:r>
        <w:rPr>
          <w:rStyle w:val="15"/>
          <w:rFonts w:hint="eastAsia" w:ascii="宋体" w:hAnsi="宋体" w:eastAsia="宋体" w:cs="宋体"/>
          <w:b/>
          <w:bCs w:val="0"/>
          <w:color w:val="000000"/>
          <w:kern w:val="0"/>
          <w:sz w:val="30"/>
          <w:szCs w:val="30"/>
          <w:lang w:val="en-US" w:eastAsia="zh-CN" w:bidi="ar"/>
        </w:rPr>
        <w:t>3、控制源优先级与表决逻辑</w:t>
      </w:r>
    </w:p>
    <w:p w14:paraId="109292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color w:val="000000"/>
          <w:sz w:val="19"/>
          <w:szCs w:val="19"/>
        </w:rPr>
      </w:pPr>
      <w:r>
        <w:rPr>
          <w:rFonts w:hint="eastAsia" w:ascii="仿宋" w:hAnsi="仿宋" w:eastAsia="仿宋" w:cs="仿宋"/>
          <w:color w:val="000000"/>
          <w:sz w:val="30"/>
          <w:szCs w:val="30"/>
          <w:lang w:val="en-US" w:eastAsia="zh-CN"/>
        </w:rPr>
        <w:t>开关输出端口支持多控制源并行下发操作指令，采用“或逻辑”控制机制：任意控制源下发闭合指令时，输出端口即刻闭合；仅当所有控制源同步下发断开指令时，输出端口才会断开。系统设定云端平台遥控指令为最高优先级清除权限，云端下发关闭指令时，可立即清除当前所有控制源的运行状态，强制端口恢复断开；后续若任一控制源再次下发闭合指令，端口将即时更新输出状态并重新闭合，保障设备控制逻辑智能、精准、可靠。控制源说明：</w:t>
      </w:r>
    </w:p>
    <w:tbl>
      <w:tblPr>
        <w:tblStyle w:val="12"/>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085"/>
        <w:gridCol w:w="1827"/>
        <w:gridCol w:w="7275"/>
      </w:tblGrid>
      <w:tr w14:paraId="5D3A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15" w:type="dxa"/>
        </w:trPr>
        <w:tc>
          <w:tcPr>
            <w:tcW w:w="1040" w:type="dxa"/>
            <w:shd w:val="clear" w:color="auto" w:fill="auto"/>
            <w:vAlign w:val="center"/>
          </w:tcPr>
          <w:p w14:paraId="66D66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Style w:val="15"/>
                <w:rFonts w:hint="eastAsia" w:ascii="宋体" w:hAnsi="宋体" w:eastAsia="宋体" w:cs="宋体"/>
                <w:b/>
                <w:bCs w:val="0"/>
                <w:color w:val="000000"/>
                <w:kern w:val="0"/>
                <w:sz w:val="28"/>
                <w:szCs w:val="28"/>
                <w:lang w:val="en-US" w:eastAsia="zh-CN" w:bidi="ar"/>
              </w:rPr>
            </w:pPr>
            <w:r>
              <w:rPr>
                <w:rStyle w:val="15"/>
                <w:rFonts w:hint="eastAsia" w:ascii="宋体" w:hAnsi="宋体" w:eastAsia="宋体" w:cs="宋体"/>
                <w:b/>
                <w:bCs w:val="0"/>
                <w:color w:val="000000"/>
                <w:kern w:val="0"/>
                <w:sz w:val="28"/>
                <w:szCs w:val="28"/>
                <w:lang w:val="en-US" w:eastAsia="zh-CN" w:bidi="ar"/>
              </w:rPr>
              <w:t>标识</w:t>
            </w:r>
          </w:p>
        </w:tc>
        <w:tc>
          <w:tcPr>
            <w:tcW w:w="1797" w:type="dxa"/>
            <w:shd w:val="clear" w:color="auto" w:fill="auto"/>
            <w:vAlign w:val="center"/>
          </w:tcPr>
          <w:p w14:paraId="002D2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Style w:val="15"/>
                <w:rFonts w:hint="eastAsia" w:ascii="宋体" w:hAnsi="宋体" w:eastAsia="宋体" w:cs="宋体"/>
                <w:b/>
                <w:bCs w:val="0"/>
                <w:color w:val="000000"/>
                <w:kern w:val="0"/>
                <w:sz w:val="28"/>
                <w:szCs w:val="28"/>
                <w:lang w:val="en-US" w:eastAsia="zh-CN" w:bidi="ar"/>
              </w:rPr>
            </w:pPr>
            <w:r>
              <w:rPr>
                <w:rStyle w:val="15"/>
                <w:rFonts w:hint="eastAsia" w:ascii="宋体" w:hAnsi="宋体" w:eastAsia="宋体" w:cs="宋体"/>
                <w:b/>
                <w:bCs w:val="0"/>
                <w:color w:val="000000"/>
                <w:kern w:val="0"/>
                <w:sz w:val="28"/>
                <w:szCs w:val="28"/>
                <w:lang w:val="en-US" w:eastAsia="zh-CN" w:bidi="ar"/>
              </w:rPr>
              <w:t>控制源</w:t>
            </w:r>
          </w:p>
        </w:tc>
        <w:tc>
          <w:tcPr>
            <w:tcW w:w="7230" w:type="dxa"/>
            <w:shd w:val="clear" w:color="auto" w:fill="auto"/>
            <w:vAlign w:val="center"/>
          </w:tcPr>
          <w:p w14:paraId="607F1C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Style w:val="15"/>
                <w:rFonts w:hint="eastAsia" w:ascii="宋体" w:hAnsi="宋体" w:eastAsia="宋体" w:cs="宋体"/>
                <w:b/>
                <w:bCs w:val="0"/>
                <w:color w:val="000000"/>
                <w:kern w:val="0"/>
                <w:sz w:val="28"/>
                <w:szCs w:val="28"/>
                <w:lang w:val="en-US" w:eastAsia="zh-CN" w:bidi="ar"/>
              </w:rPr>
            </w:pPr>
            <w:r>
              <w:rPr>
                <w:rStyle w:val="15"/>
                <w:rFonts w:hint="eastAsia" w:ascii="宋体" w:hAnsi="宋体" w:eastAsia="宋体" w:cs="宋体"/>
                <w:b/>
                <w:bCs w:val="0"/>
                <w:color w:val="000000"/>
                <w:kern w:val="0"/>
                <w:sz w:val="28"/>
                <w:szCs w:val="28"/>
                <w:lang w:val="en-US" w:eastAsia="zh-CN" w:bidi="ar"/>
              </w:rPr>
              <w:t>说明【有误】</w:t>
            </w:r>
          </w:p>
        </w:tc>
      </w:tr>
      <w:tr w14:paraId="5D4A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15" w:type="dxa"/>
        </w:trPr>
        <w:tc>
          <w:tcPr>
            <w:tcW w:w="1040" w:type="dxa"/>
            <w:shd w:val="clear" w:color="auto" w:fill="auto"/>
            <w:vAlign w:val="center"/>
          </w:tcPr>
          <w:p w14:paraId="33F1C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Online</w:t>
            </w:r>
          </w:p>
        </w:tc>
        <w:tc>
          <w:tcPr>
            <w:tcW w:w="1797" w:type="dxa"/>
            <w:shd w:val="clear" w:color="auto" w:fill="auto"/>
            <w:vAlign w:val="center"/>
          </w:tcPr>
          <w:p w14:paraId="53089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default" w:ascii="仿宋" w:hAnsi="仿宋" w:eastAsia="仿宋" w:cs="仿宋"/>
                <w:color w:val="000000"/>
                <w:sz w:val="28"/>
                <w:szCs w:val="28"/>
                <w:lang w:val="en-US" w:eastAsia="zh-CN"/>
              </w:rPr>
              <w:t>设备离线</w:t>
            </w:r>
          </w:p>
        </w:tc>
        <w:tc>
          <w:tcPr>
            <w:tcW w:w="7230" w:type="dxa"/>
            <w:shd w:val="clear" w:color="auto" w:fill="auto"/>
            <w:vAlign w:val="center"/>
          </w:tcPr>
          <w:p w14:paraId="782637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云端下发单次远程开关控制指令</w:t>
            </w:r>
          </w:p>
        </w:tc>
      </w:tr>
      <w:tr w14:paraId="66A2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040" w:type="dxa"/>
            <w:shd w:val="clear" w:color="auto" w:fill="auto"/>
            <w:vAlign w:val="center"/>
          </w:tcPr>
          <w:p w14:paraId="0CA4E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Local</w:t>
            </w:r>
          </w:p>
        </w:tc>
        <w:tc>
          <w:tcPr>
            <w:tcW w:w="1797" w:type="dxa"/>
            <w:shd w:val="clear" w:color="auto" w:fill="auto"/>
            <w:vAlign w:val="center"/>
          </w:tcPr>
          <w:p w14:paraId="6BA0C1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default" w:ascii="仿宋" w:hAnsi="仿宋" w:eastAsia="仿宋" w:cs="仿宋"/>
                <w:color w:val="000000"/>
                <w:sz w:val="28"/>
                <w:szCs w:val="28"/>
                <w:lang w:val="en-US" w:eastAsia="zh-CN"/>
              </w:rPr>
              <w:t>机内联动</w:t>
            </w:r>
          </w:p>
        </w:tc>
        <w:tc>
          <w:tcPr>
            <w:tcW w:w="7230" w:type="dxa"/>
            <w:shd w:val="clear" w:color="auto" w:fill="auto"/>
            <w:vAlign w:val="center"/>
          </w:tcPr>
          <w:p w14:paraId="5B21D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设备本地定时循环控制逻辑触发开关控制指令</w:t>
            </w:r>
          </w:p>
        </w:tc>
      </w:tr>
      <w:tr w14:paraId="1C23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15" w:type="dxa"/>
        </w:trPr>
        <w:tc>
          <w:tcPr>
            <w:tcW w:w="1040" w:type="dxa"/>
            <w:shd w:val="clear" w:color="auto" w:fill="auto"/>
            <w:vAlign w:val="center"/>
          </w:tcPr>
          <w:p w14:paraId="53148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Link</w:t>
            </w:r>
          </w:p>
        </w:tc>
        <w:tc>
          <w:tcPr>
            <w:tcW w:w="1797" w:type="dxa"/>
            <w:shd w:val="clear" w:color="auto" w:fill="auto"/>
            <w:vAlign w:val="center"/>
          </w:tcPr>
          <w:p w14:paraId="101E67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平台联动规则</w:t>
            </w:r>
          </w:p>
        </w:tc>
        <w:tc>
          <w:tcPr>
            <w:tcW w:w="7230" w:type="dxa"/>
            <w:shd w:val="clear" w:color="auto" w:fill="auto"/>
            <w:vAlign w:val="center"/>
          </w:tcPr>
          <w:p w14:paraId="26BA5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云端预设报警规则触发的远程开关控制指令令</w:t>
            </w:r>
          </w:p>
        </w:tc>
      </w:tr>
      <w:tr w14:paraId="21FA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040" w:type="dxa"/>
            <w:shd w:val="clear" w:color="auto" w:fill="auto"/>
            <w:vAlign w:val="center"/>
          </w:tcPr>
          <w:p w14:paraId="7F78A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Tran</w:t>
            </w:r>
          </w:p>
        </w:tc>
        <w:tc>
          <w:tcPr>
            <w:tcW w:w="1797" w:type="dxa"/>
            <w:shd w:val="clear" w:color="auto" w:fill="auto"/>
            <w:vAlign w:val="center"/>
          </w:tcPr>
          <w:p w14:paraId="00AAAD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数据转发指令</w:t>
            </w:r>
          </w:p>
        </w:tc>
        <w:tc>
          <w:tcPr>
            <w:tcW w:w="7230" w:type="dxa"/>
            <w:shd w:val="clear" w:color="auto" w:fill="auto"/>
            <w:vAlign w:val="center"/>
          </w:tcPr>
          <w:p w14:paraId="31D9B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云端关联的第三方转发的远程开关控制指令</w:t>
            </w:r>
          </w:p>
        </w:tc>
      </w:tr>
      <w:tr w14:paraId="3DAB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15" w:type="dxa"/>
        </w:trPr>
        <w:tc>
          <w:tcPr>
            <w:tcW w:w="1040" w:type="dxa"/>
            <w:shd w:val="clear" w:color="auto" w:fill="auto"/>
            <w:vAlign w:val="center"/>
          </w:tcPr>
          <w:p w14:paraId="63E78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Down</w:t>
            </w:r>
          </w:p>
        </w:tc>
        <w:tc>
          <w:tcPr>
            <w:tcW w:w="1797" w:type="dxa"/>
            <w:shd w:val="clear" w:color="auto" w:fill="auto"/>
            <w:vAlign w:val="center"/>
          </w:tcPr>
          <w:p w14:paraId="06E48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平台遥控开关</w:t>
            </w:r>
          </w:p>
        </w:tc>
        <w:tc>
          <w:tcPr>
            <w:tcW w:w="7230" w:type="dxa"/>
            <w:shd w:val="clear" w:color="auto" w:fill="auto"/>
            <w:vAlign w:val="center"/>
          </w:tcPr>
          <w:p w14:paraId="50A000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最高优先级，下发后清除所有控制源，强制关闭 DO 输出</w:t>
            </w:r>
          </w:p>
        </w:tc>
      </w:tr>
    </w:tbl>
    <w:p w14:paraId="003ADDE4">
      <w:pPr>
        <w:bidi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4、定时循环场景任务</w:t>
      </w:r>
    </w:p>
    <w:p w14:paraId="46E3D3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内置周期场景自动控制逻辑，在输出控制联动故障检测模式启用输出端口的前提下，需通过云端平台远程下发启用指令，并配置对应场景时间参数后方可正常投入使用。定时循环场景任务需满足以下全部启用条件：</w:t>
      </w:r>
    </w:p>
    <w:p w14:paraId="5E02A0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（1）启用输出端口；</w:t>
      </w:r>
    </w:p>
    <w:p w14:paraId="77F539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（2）设备蜂窝网络联网正常；</w:t>
      </w:r>
    </w:p>
    <w:p w14:paraId="35D24D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（3）系统本地时间校准有效。</w:t>
      </w:r>
    </w:p>
    <w:p w14:paraId="3D75EB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（4）场景总开关开启并配置好时间参数；</w:t>
      </w:r>
    </w:p>
    <w:p w14:paraId="1B3950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157" w:afterLines="50" w:afterAutospacing="0" w:line="0" w:lineRule="atLeast"/>
        <w:ind w:left="0" w:leftChars="0" w:right="0" w:rightChars="0" w:firstLine="600" w:firstLineChars="200"/>
        <w:jc w:val="left"/>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设备默认周期参数：运行时长120s、停止时长120s，满足启用条件后，将按照设定参数循环启停DO输出，实现自动化周期运行管控。</w:t>
      </w:r>
    </w:p>
    <w:p w14:paraId="003BEB5E">
      <w:pPr>
        <w:bidi w:val="0"/>
        <w:rPr>
          <w:rFonts w:hint="eastAsia" w:ascii="仿宋" w:hAnsi="仿宋" w:eastAsia="仿宋" w:cs="仿宋"/>
          <w:b/>
          <w:bCs/>
          <w:sz w:val="30"/>
          <w:szCs w:val="30"/>
          <w:lang w:val="en-US" w:eastAsia="zh-CN"/>
        </w:rPr>
      </w:pPr>
    </w:p>
    <w:p w14:paraId="469B1829">
      <w:pPr>
        <w:bidi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5、接线示意图</w:t>
      </w:r>
    </w:p>
    <w:p w14:paraId="59639184">
      <w:pPr>
        <w:bidi w:val="0"/>
        <w:rPr>
          <w:rFonts w:hint="default" w:ascii="仿宋" w:hAnsi="仿宋" w:eastAsia="仿宋" w:cs="仿宋"/>
          <w:b/>
          <w:bCs/>
          <w:sz w:val="30"/>
          <w:szCs w:val="30"/>
          <w:lang w:val="en-US" w:eastAsia="zh-CN"/>
        </w:rPr>
      </w:pPr>
    </w:p>
    <w:p w14:paraId="2206DCC8">
      <w:pPr>
        <w:pStyle w:val="3"/>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0" w:lineRule="atLeast"/>
        <w:textAlignment w:val="auto"/>
        <w:rPr>
          <w:rFonts w:hint="eastAsia" w:ascii="黑体" w:hAnsi="黑体" w:eastAsia="黑体" w:cs="黑体"/>
          <w:sz w:val="30"/>
          <w:szCs w:val="30"/>
          <w:lang w:val="en-US" w:eastAsia="zh-CN"/>
        </w:rPr>
      </w:pPr>
      <w:bookmarkStart w:id="26" w:name="_Toc9970"/>
      <w:r>
        <w:rPr>
          <w:rFonts w:hint="eastAsia" w:ascii="黑体" w:hAnsi="黑体" w:eastAsia="黑体" w:cs="黑体"/>
          <w:sz w:val="30"/>
          <w:szCs w:val="30"/>
          <w:lang w:val="en-US" w:eastAsia="zh-CN"/>
        </w:rPr>
        <w:t>（五）AO调频端口</w:t>
      </w:r>
      <w:bookmarkEnd w:id="26"/>
    </w:p>
    <w:p w14:paraId="677477E5">
      <w:pPr>
        <w:bidi w:val="0"/>
        <w:rPr>
          <w:rFonts w:hint="eastAsia" w:ascii="仿宋" w:hAnsi="仿宋" w:eastAsia="仿宋" w:cs="仿宋"/>
          <w:b/>
          <w:bCs/>
          <w:sz w:val="30"/>
          <w:szCs w:val="30"/>
          <w:lang w:val="en-US" w:eastAsia="zh-CN"/>
        </w:rPr>
      </w:pPr>
      <w:r>
        <w:rPr>
          <w:rFonts w:hint="eastAsia" w:ascii="宋体" w:hAnsi="宋体" w:eastAsia="宋体" w:cs="宋体"/>
          <w:b/>
          <w:bCs/>
          <w:sz w:val="30"/>
          <w:szCs w:val="30"/>
        </w:rPr>
        <w:t>AO 变频调速输出通道1路：</w:t>
      </w:r>
      <w:r>
        <w:rPr>
          <w:rFonts w:hint="eastAsia" w:ascii="仿宋" w:hAnsi="仿宋" w:eastAsia="仿宋" w:cs="仿宋"/>
          <w:color w:val="000000"/>
          <w:sz w:val="30"/>
          <w:szCs w:val="30"/>
        </w:rPr>
        <w:t>输出 0~10VDC 标准模拟信号，对应变频器 0~100% 无级调速；可通过 MQTT 云端下发指令远程调整输出转速；</w:t>
      </w:r>
    </w:p>
    <w:p w14:paraId="119DD7D3">
      <w:pPr>
        <w:bidi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（1）基础参数</w:t>
      </w:r>
    </w:p>
    <w:p w14:paraId="0F270D7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默认输出频率：1000Hz；</w:t>
      </w:r>
    </w:p>
    <w:p w14:paraId="73358F8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精度分级：百分制 0~100 档位，对应 0%~100% 占空比；</w:t>
      </w:r>
    </w:p>
    <w:p w14:paraId="2A8669C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双控制模式：固定百分比恒定输出、外部数据动态映射调速。</w:t>
      </w:r>
    </w:p>
    <w:p w14:paraId="72FAC214">
      <w:pPr>
        <w:bidi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（2）动态数据映射换算规则</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5"/>
        <w:gridCol w:w="2895"/>
      </w:tblGrid>
      <w:tr w14:paraId="5A17E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0" w:type="auto"/>
            <w:shd w:val="clear" w:color="auto" w:fill="auto"/>
            <w:vAlign w:val="center"/>
          </w:tcPr>
          <w:p w14:paraId="5211881B">
            <w:pPr>
              <w:keepNext w:val="0"/>
              <w:keepLines w:val="0"/>
              <w:widowControl/>
              <w:suppressLineNumbers w:val="0"/>
              <w:spacing w:before="0" w:beforeAutospacing="0" w:after="0" w:afterAutospacing="0" w:line="288" w:lineRule="atLeast"/>
              <w:ind w:left="0" w:right="0"/>
              <w:jc w:val="left"/>
              <w:rPr>
                <w:b/>
                <w:bCs/>
                <w:color w:val="000000"/>
                <w:sz w:val="19"/>
                <w:szCs w:val="19"/>
              </w:rPr>
            </w:pPr>
            <w:r>
              <w:rPr>
                <w:rFonts w:ascii="宋体" w:hAnsi="宋体" w:eastAsia="宋体" w:cs="宋体"/>
                <w:b/>
                <w:bCs/>
                <w:color w:val="000000"/>
                <w:kern w:val="0"/>
                <w:sz w:val="19"/>
                <w:szCs w:val="19"/>
                <w:lang w:val="en-US" w:eastAsia="zh-CN" w:bidi="ar"/>
              </w:rPr>
              <w:t>输入实时数据条件</w:t>
            </w:r>
          </w:p>
        </w:tc>
        <w:tc>
          <w:tcPr>
            <w:tcW w:w="0" w:type="auto"/>
            <w:shd w:val="clear" w:color="auto" w:fill="auto"/>
            <w:vAlign w:val="center"/>
          </w:tcPr>
          <w:p w14:paraId="2805D755">
            <w:pPr>
              <w:keepNext w:val="0"/>
              <w:keepLines w:val="0"/>
              <w:widowControl/>
              <w:suppressLineNumbers w:val="0"/>
              <w:spacing w:before="0" w:beforeAutospacing="0" w:after="0" w:afterAutospacing="0" w:line="288" w:lineRule="atLeast"/>
              <w:ind w:left="0" w:right="0"/>
              <w:jc w:val="left"/>
              <w:rPr>
                <w:b/>
                <w:bCs/>
                <w:color w:val="000000"/>
                <w:sz w:val="19"/>
                <w:szCs w:val="19"/>
              </w:rPr>
            </w:pPr>
            <w:r>
              <w:rPr>
                <w:rFonts w:ascii="宋体" w:hAnsi="宋体" w:eastAsia="宋体" w:cs="宋体"/>
                <w:b/>
                <w:bCs/>
                <w:color w:val="000000"/>
                <w:kern w:val="0"/>
                <w:sz w:val="19"/>
                <w:szCs w:val="19"/>
                <w:lang w:val="en-US" w:eastAsia="zh-CN" w:bidi="ar"/>
              </w:rPr>
              <w:t>PWM 输出百分比处理规则</w:t>
            </w:r>
          </w:p>
        </w:tc>
      </w:tr>
      <w:tr w14:paraId="72E1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3BF131D0">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无有效实时输入数据</w:t>
            </w:r>
          </w:p>
        </w:tc>
        <w:tc>
          <w:tcPr>
            <w:tcW w:w="0" w:type="auto"/>
            <w:shd w:val="clear" w:color="auto" w:fill="auto"/>
            <w:vAlign w:val="center"/>
          </w:tcPr>
          <w:p w14:paraId="1DBD330E">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采用固定参数 Pct_fixed 输出</w:t>
            </w:r>
          </w:p>
        </w:tc>
      </w:tr>
      <w:tr w14:paraId="6566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vAlign w:val="center"/>
          </w:tcPr>
          <w:p w14:paraId="5E56EFA4">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输入数据 ＜ 下限阈值</w:t>
            </w:r>
          </w:p>
        </w:tc>
        <w:tc>
          <w:tcPr>
            <w:tcW w:w="0" w:type="auto"/>
            <w:shd w:val="clear" w:color="auto" w:fill="auto"/>
            <w:vAlign w:val="center"/>
          </w:tcPr>
          <w:p w14:paraId="0326C3AE">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锁定最低百分比 Pct_Lower</w:t>
            </w:r>
          </w:p>
        </w:tc>
      </w:tr>
      <w:tr w14:paraId="4E5F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6FA9F148">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输入数据 ＞ 上限阈值</w:t>
            </w:r>
          </w:p>
        </w:tc>
        <w:tc>
          <w:tcPr>
            <w:tcW w:w="0" w:type="auto"/>
            <w:shd w:val="clear" w:color="auto" w:fill="auto"/>
            <w:vAlign w:val="center"/>
          </w:tcPr>
          <w:p w14:paraId="5A54011F">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锁定最高百分比 Pct_Upper</w:t>
            </w:r>
          </w:p>
        </w:tc>
      </w:tr>
      <w:tr w14:paraId="4BC9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vAlign w:val="center"/>
          </w:tcPr>
          <w:p w14:paraId="22A8FBA7">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数据处于上下限区间内</w:t>
            </w:r>
          </w:p>
        </w:tc>
        <w:tc>
          <w:tcPr>
            <w:tcW w:w="0" w:type="auto"/>
            <w:shd w:val="clear" w:color="auto" w:fill="auto"/>
            <w:vAlign w:val="center"/>
          </w:tcPr>
          <w:p w14:paraId="0CAE929B">
            <w:pPr>
              <w:keepNext w:val="0"/>
              <w:keepLines w:val="0"/>
              <w:widowControl/>
              <w:suppressLineNumbers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根据数值线性比例换算输出占空比</w:t>
            </w:r>
          </w:p>
        </w:tc>
      </w:tr>
    </w:tbl>
    <w:p w14:paraId="4CED598A">
      <w:pPr>
        <w:bidi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（3）控制源区分</w:t>
      </w:r>
    </w:p>
    <w:p w14:paraId="513E4FC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Down 遥控指令：直接指定目标百分比，覆盖动态映射；</w:t>
      </w:r>
    </w:p>
    <w:p w14:paraId="5B71AFE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Tran 转发指令：写入外部采集实时数据，交由动态换算逻辑自动生成输出百分比。</w:t>
      </w:r>
    </w:p>
    <w:p w14:paraId="794793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kinsoku/>
        <w:wordWrap/>
        <w:overflowPunct/>
        <w:topLinePunct w:val="0"/>
        <w:autoSpaceDE/>
        <w:autoSpaceDN/>
        <w:bidi w:val="0"/>
        <w:adjustRightInd/>
        <w:snapToGrid/>
        <w:spacing w:before="0" w:beforeAutospacing="0" w:after="0" w:afterAutospacing="0" w:line="0" w:lineRule="atLeast"/>
        <w:ind w:left="62" w:leftChars="0" w:right="0" w:rightChars="0"/>
        <w:jc w:val="left"/>
        <w:textAlignment w:val="auto"/>
        <w:rPr>
          <w:rFonts w:hint="eastAsia" w:ascii="仿宋" w:hAnsi="仿宋" w:eastAsia="仿宋" w:cs="仿宋"/>
          <w:color w:val="000000"/>
          <w:sz w:val="30"/>
          <w:szCs w:val="30"/>
          <w:lang w:val="en-US" w:eastAsia="zh-CN"/>
        </w:rPr>
      </w:pPr>
    </w:p>
    <w:p w14:paraId="37C8030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color w:val="000000"/>
          <w:sz w:val="30"/>
          <w:szCs w:val="30"/>
          <w:lang w:eastAsia="zh-CN"/>
        </w:rPr>
      </w:pPr>
    </w:p>
    <w:p w14:paraId="0756BF0C">
      <w:pPr>
        <w:bidi w:val="0"/>
        <w:rPr>
          <w:rFonts w:hint="eastAsia"/>
          <w:lang w:val="en-US" w:eastAsia="zh-CN"/>
        </w:rPr>
      </w:pPr>
      <w:r>
        <w:rPr>
          <w:rFonts w:hint="eastAsia"/>
          <w:lang w:val="en-US" w:eastAsia="zh-CN"/>
        </w:rPr>
        <w:t>六、数据通信</w:t>
      </w:r>
    </w:p>
    <w:p w14:paraId="033B36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rPr>
        <w:t>3.5 MQTT 云端通信功能</w:t>
      </w:r>
    </w:p>
    <w:p w14:paraId="417EFD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rPr>
        <w:t>3.5.1 完整联网启动流程</w:t>
      </w:r>
    </w:p>
    <w:p w14:paraId="0E1369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读取模组 ICCID → 生成设备唯一 SN 码 → 等待蜂窝网络获取 IP 地址 → 建立 MQTT 服务端连接 → 订阅下行指令主题 → 进入正常数据收发运行态 SN 生成规则：固定前缀 "C" 拼接 ICCID 最后 15 位字符。</w:t>
      </w:r>
    </w:p>
    <w:p w14:paraId="7134F3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MQTT 主题规范：</w:t>
      </w:r>
    </w:p>
    <w:p w14:paraId="59350D2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订阅下行指令主题：</w:t>
      </w:r>
      <w:r>
        <w:rPr>
          <w:rStyle w:val="16"/>
          <w:color w:val="000000"/>
          <w:sz w:val="19"/>
          <w:szCs w:val="19"/>
        </w:rPr>
        <w:t>{SN}/receive</w:t>
      </w:r>
    </w:p>
    <w:p w14:paraId="3F30E0D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设备上报上行主题：</w:t>
      </w:r>
      <w:r>
        <w:rPr>
          <w:rStyle w:val="16"/>
          <w:color w:val="000000"/>
          <w:sz w:val="19"/>
          <w:szCs w:val="19"/>
        </w:rPr>
        <w:t>{SN}/publish</w:t>
      </w:r>
    </w:p>
    <w:p w14:paraId="38F86E4A">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jc w:val="left"/>
        <w:rPr>
          <w:color w:val="000000"/>
          <w:sz w:val="19"/>
          <w:szCs w:val="19"/>
        </w:rPr>
      </w:pPr>
      <w:r>
        <w:rPr>
          <w:color w:val="000000"/>
          <w:sz w:val="19"/>
          <w:szCs w:val="19"/>
        </w:rPr>
        <w:t>指令应答返回主题：</w:t>
      </w:r>
      <w:r>
        <w:rPr>
          <w:rStyle w:val="16"/>
          <w:color w:val="000000"/>
          <w:sz w:val="19"/>
          <w:szCs w:val="19"/>
        </w:rPr>
        <w:t>{ClientID}/reply</w:t>
      </w:r>
    </w:p>
    <w:p w14:paraId="7A0E98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color w:val="000000"/>
          <w:sz w:val="19"/>
          <w:szCs w:val="19"/>
        </w:rPr>
        <w:t>3.5.2 云端上报 JSON 数据格式</w:t>
      </w:r>
    </w:p>
    <w:p w14:paraId="3DB74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1）设备基础信息上报</w:t>
      </w:r>
    </w:p>
    <w:p w14:paraId="66256896">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json</w:t>
      </w:r>
    </w:p>
    <w:p w14:paraId="01C217EF">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w:t>
      </w:r>
    </w:p>
    <w:p w14:paraId="04EB1457">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"deviceDatas": [</w:t>
      </w:r>
    </w:p>
    <w:p w14:paraId="157B117F">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"IMEI": "模组IMEI码" },</w:t>
      </w:r>
    </w:p>
    <w:p w14:paraId="4C370AC5">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"Ver": "V1.2.0" }</w:t>
      </w:r>
    </w:p>
    <w:p w14:paraId="32345B53">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color w:val="000000"/>
          <w:sz w:val="19"/>
          <w:szCs w:val="19"/>
        </w:rPr>
      </w:pPr>
      <w:r>
        <w:rPr>
          <w:rStyle w:val="16"/>
          <w:color w:val="000000"/>
          <w:sz w:val="19"/>
          <w:szCs w:val="19"/>
        </w:rPr>
        <w:t xml:space="preserve">  ]}</w:t>
      </w:r>
    </w:p>
    <w:p w14:paraId="21992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2）IO 与运行状态上报</w:t>
      </w:r>
    </w:p>
    <w:p w14:paraId="53A3DA6F">
      <w:pPr>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88" w:lineRule="atLeast"/>
        <w:ind w:left="0" w:right="0"/>
        <w:jc w:val="left"/>
        <w:rPr>
          <w:color w:val="000000"/>
          <w:sz w:val="19"/>
          <w:szCs w:val="19"/>
        </w:rPr>
      </w:pPr>
      <w:r>
        <w:rPr>
          <w:rFonts w:ascii="宋体" w:hAnsi="宋体" w:eastAsia="宋体" w:cs="宋体"/>
          <w:color w:val="000000"/>
          <w:kern w:val="0"/>
          <w:sz w:val="19"/>
          <w:szCs w:val="19"/>
          <w:lang w:val="en-US" w:eastAsia="zh-CN" w:bidi="ar"/>
        </w:rPr>
        <w:t>json</w:t>
      </w:r>
    </w:p>
    <w:p w14:paraId="4A43EECB">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w:t>
      </w:r>
    </w:p>
    <w:p w14:paraId="561D30F4">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"sensorDatas": [</w:t>
      </w:r>
    </w:p>
    <w:p w14:paraId="78AD4508">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"AI0", "value": 20 },      // 蜂窝信号强度CSQ</w:t>
      </w:r>
    </w:p>
    <w:p w14:paraId="619A0817">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"ALM1", "value": 0 },      // WLB2C故障码</w:t>
      </w:r>
    </w:p>
    <w:p w14:paraId="517A93D8">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"DI0", "switcher": 1 },    // DI1设备供电状态</w:t>
      </w:r>
    </w:p>
    <w:p w14:paraId="57066191">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"SW1", "switcher": 1 },    // DI4本地开关状态</w:t>
      </w:r>
    </w:p>
    <w:p w14:paraId="5170D69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"DO1", "switcher": 1 },    // DO输出总状态</w:t>
      </w:r>
    </w:p>
    <w:p w14:paraId="2102C267">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"PWM1", "value": 25 },     // 当前PWM输出百分比</w:t>
      </w:r>
    </w:p>
    <w:p w14:paraId="187C7FBC">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rStyle w:val="16"/>
          <w:color w:val="000000"/>
          <w:sz w:val="19"/>
          <w:szCs w:val="19"/>
        </w:rPr>
      </w:pPr>
      <w:r>
        <w:rPr>
          <w:rStyle w:val="16"/>
          <w:color w:val="000000"/>
          <w:sz w:val="19"/>
          <w:szCs w:val="19"/>
        </w:rPr>
        <w:t xml:space="preserve">    { "flag": "LD1", "switcher": 1 }     // DI5负载电流检测状态</w:t>
      </w:r>
    </w:p>
    <w:p w14:paraId="4B5EAE94">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194" w:beforeAutospacing="0" w:after="96" w:afterAutospacing="0" w:line="288" w:lineRule="atLeast"/>
        <w:ind w:left="0" w:right="0"/>
        <w:jc w:val="left"/>
        <w:rPr>
          <w:color w:val="000000"/>
          <w:sz w:val="19"/>
          <w:szCs w:val="19"/>
        </w:rPr>
      </w:pPr>
      <w:r>
        <w:rPr>
          <w:rStyle w:val="16"/>
          <w:color w:val="000000"/>
          <w:sz w:val="19"/>
          <w:szCs w:val="19"/>
        </w:rPr>
        <w:t xml:space="preserve">  ]}</w:t>
      </w:r>
    </w:p>
    <w:p w14:paraId="0B814C0C">
      <w:pPr>
        <w:bidi w:val="0"/>
        <w:rPr>
          <w:rFonts w:hint="default"/>
          <w:lang w:val="en-US" w:eastAsia="zh-CN"/>
        </w:rPr>
      </w:pPr>
    </w:p>
    <w:sectPr>
      <w:headerReference r:id="rId3" w:type="default"/>
      <w:type w:val="continuous"/>
      <w:pgSz w:w="11906" w:h="16838"/>
      <w:pgMar w:top="1134" w:right="850" w:bottom="567" w:left="850" w:header="567"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3D0C7">
    <w:pPr>
      <w:pStyle w:val="8"/>
      <w:pBdr>
        <w:bottom w:val="dotted" w:color="auto" w:sz="4" w:space="1"/>
      </w:pBdr>
      <w:wordWrap/>
      <w:jc w:val="center"/>
      <w:rPr>
        <w:rFonts w:hint="default" w:eastAsiaTheme="minorEastAsia"/>
        <w:sz w:val="28"/>
        <w:szCs w:val="28"/>
        <w:lang w:val="en-US" w:eastAsia="zh-CN"/>
      </w:rPr>
    </w:pPr>
    <w:r>
      <w:rPr>
        <w:rFonts w:hint="eastAsia" w:eastAsiaTheme="minorEastAsia"/>
        <w:sz w:val="28"/>
        <w:szCs w:val="28"/>
        <w:lang w:eastAsia="zh-CN"/>
      </w:rPr>
      <w:drawing>
        <wp:anchor distT="0" distB="0" distL="114300" distR="114300" simplePos="0" relativeHeight="251659264" behindDoc="1" locked="0" layoutInCell="1" allowOverlap="1">
          <wp:simplePos x="0" y="0"/>
          <wp:positionH relativeFrom="column">
            <wp:posOffset>-7620</wp:posOffset>
          </wp:positionH>
          <wp:positionV relativeFrom="paragraph">
            <wp:posOffset>-69850</wp:posOffset>
          </wp:positionV>
          <wp:extent cx="931545" cy="294640"/>
          <wp:effectExtent l="0" t="0" r="13335" b="10795"/>
          <wp:wrapNone/>
          <wp:docPr id="7" name="图片 7" descr="Logo 横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ogo 横排"/>
                  <pic:cNvPicPr>
                    <a:picLocks noChangeAspect="1"/>
                  </pic:cNvPicPr>
                </pic:nvPicPr>
                <pic:blipFill>
                  <a:blip r:embed="rId1"/>
                  <a:stretch>
                    <a:fillRect/>
                  </a:stretch>
                </pic:blipFill>
                <pic:spPr>
                  <a:xfrm>
                    <a:off x="0" y="0"/>
                    <a:ext cx="931545" cy="294640"/>
                  </a:xfrm>
                  <a:prstGeom prst="rect">
                    <a:avLst/>
                  </a:prstGeom>
                </pic:spPr>
              </pic:pic>
            </a:graphicData>
          </a:graphic>
        </wp:anchor>
      </w:drawing>
    </w:r>
    <w:r>
      <w:rPr>
        <w:rFonts w:hint="eastAsia"/>
        <w:sz w:val="28"/>
        <w:szCs w:val="28"/>
        <w:lang w:val="en-US" w:eastAsia="zh-CN"/>
      </w:rPr>
      <w:t>产品资料       深圳市讯高宏砺科技有限公司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128A5"/>
    <w:multiLevelType w:val="multilevel"/>
    <w:tmpl w:val="E09128A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421361ED"/>
    <w:multiLevelType w:val="multilevel"/>
    <w:tmpl w:val="421361E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6544E75B"/>
    <w:multiLevelType w:val="multilevel"/>
    <w:tmpl w:val="6544E7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75F8BD95"/>
    <w:multiLevelType w:val="multilevel"/>
    <w:tmpl w:val="75F8BD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B433B4"/>
    <w:rsid w:val="062F273D"/>
    <w:rsid w:val="095F3A09"/>
    <w:rsid w:val="09A72C79"/>
    <w:rsid w:val="10C21B83"/>
    <w:rsid w:val="15EA028F"/>
    <w:rsid w:val="16560BB2"/>
    <w:rsid w:val="26345C82"/>
    <w:rsid w:val="34E7749C"/>
    <w:rsid w:val="35E03A30"/>
    <w:rsid w:val="3A8640A3"/>
    <w:rsid w:val="46423F9F"/>
    <w:rsid w:val="4B5736F5"/>
    <w:rsid w:val="5ACD0AE1"/>
    <w:rsid w:val="6C036C8A"/>
    <w:rsid w:val="6C262364"/>
    <w:rsid w:val="74D77C10"/>
    <w:rsid w:val="793C3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TML Code"/>
    <w:basedOn w:val="14"/>
    <w:qFormat/>
    <w:uiPriority w:val="0"/>
    <w:rPr>
      <w:rFonts w:ascii="Courier New" w:hAnsi="Courier New"/>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931</Words>
  <Characters>1024</Characters>
  <Lines>0</Lines>
  <Paragraphs>0</Paragraphs>
  <TotalTime>54</TotalTime>
  <ScaleCrop>false</ScaleCrop>
  <LinksUpToDate>false</LinksUpToDate>
  <CharactersWithSpaces>1101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2026-06-25T06:12:00Z</dcterms:created>
  <dc:creator>lily</dc:creator>
  <cp:lastModifiedBy>lily</cp:lastModifiedBy>
  <dcterms:modified xsi:type="dcterms:W3CDTF">2026-07-07T14:48:38Z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B666B746393E4336ACC4F96C71BB3FC5_11</vt:lpwstr>
  </property>
  <property fmtid="{D5CDD505-2E9C-101B-9397-08002B2CF9AE}" pid="4" name="KSOTemplateDocerSaveRecord">
    <vt:lpwstr>eyJoZGlkIjoiZGVmZDEzNTQ2NzBhZTAyYjIyNTM5OTY3NmEwMzY0NmMiLCJ1c2VySWQiOiIyMTE1NTgwMTUifQ==</vt:lpwstr>
  </property>
</Properties>
</file>